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12" w:lineRule="auto"/>
        <w:ind w:left="1701" w:hanging="173"/>
        <w:rPr>
          <w:sz w:val="32"/>
          <w:szCs w:val="32"/>
        </w:rPr>
      </w:pPr>
      <w:r>
        <w:rPr>
          <w:sz w:val="32"/>
          <w:szCs w:val="32"/>
        </w:rPr>
        <w:t>计算机科学与技术学院计算机科学与技术专业推荐免试直升研究生工作评审细则</w:t>
      </w:r>
    </w:p>
    <w:p>
      <w:pPr>
        <w:spacing w:before="62"/>
        <w:ind w:left="142"/>
        <w:jc w:val="center"/>
        <w:rPr>
          <w:b/>
          <w:sz w:val="32"/>
          <w:szCs w:val="32"/>
        </w:rPr>
      </w:pPr>
      <w:r>
        <w:rPr>
          <w:b/>
          <w:sz w:val="32"/>
          <w:szCs w:val="32"/>
        </w:rPr>
        <w:t>（</w:t>
      </w:r>
      <w:r>
        <w:rPr>
          <w:rFonts w:ascii="Times New Roman" w:eastAsia="Times New Roman"/>
          <w:b/>
          <w:sz w:val="32"/>
          <w:szCs w:val="32"/>
        </w:rPr>
        <w:t xml:space="preserve">2020 </w:t>
      </w:r>
      <w:r>
        <w:rPr>
          <w:b/>
          <w:sz w:val="32"/>
          <w:szCs w:val="32"/>
        </w:rPr>
        <w:t>年修订）</w:t>
      </w:r>
    </w:p>
    <w:p>
      <w:pPr>
        <w:spacing w:before="62"/>
        <w:ind w:left="3585"/>
        <w:rPr>
          <w:b/>
          <w:sz w:val="24"/>
        </w:rPr>
      </w:pPr>
    </w:p>
    <w:p>
      <w:pPr>
        <w:spacing w:before="121" w:line="321" w:lineRule="auto"/>
        <w:ind w:right="19" w:firstLine="493"/>
        <w:jc w:val="both"/>
        <w:rPr>
          <w:sz w:val="37"/>
        </w:rPr>
      </w:pPr>
      <w:r>
        <w:rPr>
          <w:spacing w:val="-16"/>
          <w:sz w:val="28"/>
        </w:rPr>
        <w:t>为了将计算机科学与技术学院计算机科学与技术专业（以下简称计算机专业）本科生免试直升研究生推荐工作规范化和制度化，本着公平、公正、公开的原则，结合本专业特点，按照《</w:t>
      </w:r>
      <w:r>
        <w:rPr>
          <w:rFonts w:hint="eastAsia"/>
          <w:spacing w:val="-16"/>
          <w:sz w:val="28"/>
        </w:rPr>
        <w:t>华东师范大学推荐优秀应届本科毕业生免试攻读研究生工作管理办法（2020年修订</w:t>
      </w:r>
      <w:r>
        <w:rPr>
          <w:spacing w:val="-16"/>
          <w:sz w:val="28"/>
        </w:rPr>
        <w:t>）》（以下简称《校推免办法》），特制定本评审细则。</w:t>
      </w:r>
    </w:p>
    <w:p>
      <w:pPr>
        <w:pStyle w:val="3"/>
        <w:ind w:left="0" w:right="19"/>
        <w:jc w:val="both"/>
      </w:pPr>
    </w:p>
    <w:p>
      <w:pPr>
        <w:pStyle w:val="3"/>
        <w:ind w:left="0" w:right="19"/>
        <w:jc w:val="both"/>
      </w:pPr>
      <w:r>
        <w:t>一、推荐条件</w:t>
      </w:r>
    </w:p>
    <w:p>
      <w:pPr>
        <w:spacing w:before="121" w:line="321" w:lineRule="auto"/>
        <w:ind w:right="19" w:firstLine="479"/>
        <w:jc w:val="both"/>
        <w:rPr>
          <w:sz w:val="28"/>
        </w:rPr>
      </w:pPr>
      <w:r>
        <w:rPr>
          <w:rFonts w:ascii="Times New Roman" w:eastAsia="Times New Roman"/>
          <w:sz w:val="28"/>
        </w:rPr>
        <w:t>1</w:t>
      </w:r>
      <w:r>
        <w:rPr>
          <w:sz w:val="28"/>
        </w:rPr>
        <w:t>、拥护党的领导，品行表现优良、遵纪守法、积极向上、身心健康、学习成绩良好。</w:t>
      </w:r>
    </w:p>
    <w:p>
      <w:pPr>
        <w:spacing w:before="121" w:line="321" w:lineRule="auto"/>
        <w:ind w:right="19" w:firstLine="559"/>
        <w:jc w:val="both"/>
        <w:rPr>
          <w:spacing w:val="-16"/>
          <w:sz w:val="28"/>
        </w:rPr>
      </w:pPr>
      <w:r>
        <w:rPr>
          <w:spacing w:val="-16"/>
          <w:sz w:val="28"/>
        </w:rPr>
        <w:t>对于在校期间参军入伍服兵役、到国际组织实习（三个月及以上）纳入综合考核成绩指标体系。</w:t>
      </w:r>
    </w:p>
    <w:p>
      <w:pPr>
        <w:spacing w:before="121" w:line="321" w:lineRule="auto"/>
        <w:ind w:right="19" w:firstLine="559"/>
        <w:jc w:val="both"/>
        <w:rPr>
          <w:spacing w:val="-16"/>
          <w:sz w:val="28"/>
        </w:rPr>
      </w:pPr>
      <w:r>
        <w:rPr>
          <w:rFonts w:hint="eastAsia"/>
          <w:sz w:val="28"/>
        </w:rPr>
        <w:t>受过纪律处分的学生，推免工作开始（日期以学校发布通知为准）前处分已</w:t>
      </w:r>
      <w:r>
        <w:rPr>
          <w:spacing w:val="-16"/>
          <w:sz w:val="28"/>
        </w:rPr>
        <w:t>解除的，可以提出推免申请，但</w:t>
      </w:r>
      <w:r>
        <w:rPr>
          <w:spacing w:val="-16"/>
          <w:sz w:val="28"/>
        </w:rPr>
        <w:t>须在</w:t>
      </w:r>
      <w:r>
        <w:rPr>
          <w:spacing w:val="-16"/>
          <w:sz w:val="28"/>
        </w:rPr>
        <w:t>进行综合排名时作出限定。</w:t>
      </w:r>
    </w:p>
    <w:p>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、纳入国家普通本科招生计划录取、未曾计入历年应毕业本科生范围、未曾参与过推免环节的应届毕业生。</w:t>
      </w:r>
    </w:p>
    <w:p>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、平均绩点（</w:t>
      </w:r>
      <w:r>
        <w:rPr>
          <w:rFonts w:ascii="Times New Roman" w:eastAsia="Times New Roman"/>
          <w:sz w:val="28"/>
        </w:rPr>
        <w:t>GPA</w:t>
      </w:r>
      <w:r>
        <w:rPr>
          <w:rFonts w:hint="eastAsia"/>
          <w:sz w:val="28"/>
        </w:rPr>
        <w:t>）不低于</w:t>
      </w:r>
      <w:r>
        <w:rPr>
          <w:rFonts w:ascii="Times New Roman" w:eastAsia="Times New Roman"/>
          <w:sz w:val="28"/>
        </w:rPr>
        <w:t>2.8</w:t>
      </w:r>
      <w:r>
        <w:rPr>
          <w:rFonts w:hint="eastAsia"/>
          <w:sz w:val="28"/>
        </w:rPr>
        <w:t>。</w:t>
      </w:r>
    </w:p>
    <w:p>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、具有学术研究兴趣，有较强的学习能力和创新意识，具备作为研究生培养的潜质。</w:t>
      </w:r>
    </w:p>
    <w:p>
      <w:pPr>
        <w:spacing w:before="121" w:line="321" w:lineRule="auto"/>
        <w:ind w:right="19" w:firstLine="479"/>
        <w:jc w:val="both"/>
        <w:rPr>
          <w:rFonts w:hint="eastAsia"/>
          <w:sz w:val="28"/>
        </w:rPr>
      </w:pPr>
      <w:r>
        <w:rPr>
          <w:rFonts w:ascii="Times New Roman" w:eastAsia="Times New Roman"/>
          <w:sz w:val="28"/>
        </w:rPr>
        <w:t>5</w:t>
      </w:r>
      <w:r>
        <w:rPr>
          <w:rFonts w:hint="eastAsia"/>
          <w:sz w:val="28"/>
        </w:rPr>
        <w:t>、本科毕业后不得参加工作或赴境外留学。</w:t>
      </w:r>
    </w:p>
    <w:p>
      <w:pPr>
        <w:spacing w:before="121" w:line="321" w:lineRule="auto"/>
        <w:ind w:right="19" w:firstLine="479"/>
        <w:jc w:val="both"/>
        <w:rPr>
          <w:rFonts w:hint="eastAsia"/>
          <w:sz w:val="28"/>
        </w:rPr>
      </w:pPr>
      <w:r>
        <w:rPr>
          <w:rFonts w:hint="default"/>
          <w:sz w:val="28"/>
        </w:rPr>
        <w:t>注：</w:t>
      </w:r>
      <w:r>
        <w:rPr>
          <w:rFonts w:hint="eastAsia"/>
          <w:sz w:val="28"/>
        </w:rPr>
        <w:t>特别推免</w:t>
      </w:r>
      <w:r>
        <w:rPr>
          <w:rFonts w:hint="default"/>
          <w:sz w:val="28"/>
        </w:rPr>
        <w:t>条件，请参照《校推免办法》。</w:t>
      </w:r>
    </w:p>
    <w:p>
      <w:pPr>
        <w:pStyle w:val="3"/>
        <w:spacing w:before="216"/>
        <w:ind w:left="0" w:right="19"/>
        <w:jc w:val="both"/>
      </w:pPr>
      <w:r>
        <w:t>二、推荐名额</w:t>
      </w:r>
    </w:p>
    <w:p>
      <w:pPr>
        <w:spacing w:before="121" w:line="321" w:lineRule="auto"/>
        <w:ind w:right="19" w:firstLine="559"/>
        <w:jc w:val="both"/>
        <w:rPr>
          <w:sz w:val="28"/>
        </w:rPr>
      </w:pPr>
      <w:r>
        <w:rPr>
          <w:sz w:val="28"/>
        </w:rPr>
        <w:t>本专业推荐总名额按照当年学校下拨学院的名额设定（近年名额为 14 名左右）。</w:t>
      </w:r>
    </w:p>
    <w:p>
      <w:pPr>
        <w:spacing w:before="121" w:line="321" w:lineRule="auto"/>
        <w:ind w:right="19" w:firstLine="559"/>
        <w:jc w:val="both"/>
        <w:rPr>
          <w:sz w:val="28"/>
        </w:rPr>
      </w:pPr>
      <w:r>
        <w:rPr>
          <w:sz w:val="28"/>
        </w:rPr>
        <w:t>注：已经获得推免资格的学生，如中途发生出国、就业等浪费推荐名额的现象，将被取消毕业时全年的各级各类评优资格。</w:t>
      </w:r>
    </w:p>
    <w:p>
      <w:pPr>
        <w:spacing w:before="121" w:line="321" w:lineRule="auto"/>
        <w:ind w:right="19" w:firstLine="559"/>
        <w:jc w:val="both"/>
        <w:rPr>
          <w:sz w:val="28"/>
        </w:rPr>
        <w:sectPr>
          <w:footerReference r:id="rId3" w:type="default"/>
          <w:type w:val="continuous"/>
          <w:pgSz w:w="11910" w:h="16840"/>
          <w:pgMar w:top="760" w:right="1380" w:bottom="860" w:left="1580" w:header="720" w:footer="676" w:gutter="0"/>
          <w:pgNumType w:start="1"/>
          <w:cols w:space="720" w:num="1"/>
        </w:sectPr>
      </w:pPr>
    </w:p>
    <w:p>
      <w:pPr>
        <w:pStyle w:val="3"/>
        <w:spacing w:before="45"/>
        <w:ind w:left="0" w:right="19"/>
        <w:jc w:val="both"/>
      </w:pPr>
      <w:r>
        <w:t>三、申请程序</w:t>
      </w:r>
    </w:p>
    <w:p>
      <w:pPr>
        <w:spacing w:before="121" w:line="321" w:lineRule="auto"/>
        <w:ind w:right="19" w:firstLine="479"/>
        <w:jc w:val="both"/>
        <w:rPr>
          <w:rFonts w:ascii="Times New Roman" w:eastAsia="Times New Roman"/>
          <w:sz w:val="28"/>
        </w:rPr>
      </w:pPr>
      <w:r>
        <w:rPr>
          <w:rFonts w:ascii="Times New Roman" w:eastAsia="Times New Roman"/>
          <w:sz w:val="28"/>
        </w:rPr>
        <w:t>1</w:t>
      </w:r>
      <w:r>
        <w:rPr>
          <w:rFonts w:hint="eastAsia"/>
          <w:sz w:val="28"/>
        </w:rPr>
        <w:t>、有直研意向的学生在规定时间段内向学院学生工作部提交书面申请表（见附件三）。</w:t>
      </w:r>
    </w:p>
    <w:p>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有各种高水平竞赛获奖、参加学术研究、各类学术研究成果、在校期间参军入伍服兵役情况、到国际组织实习（三个月及以上）情况的学生，须同时向学院学生工作部提交相关证明材料及复印件供审核和计算素质分。</w:t>
      </w:r>
    </w:p>
    <w:p>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、凡提交直研书面申请的学生，需参加专业能力素质测试。</w:t>
      </w:r>
    </w:p>
    <w:p>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、学院计算机专业推免工作领导小组在审核学生申请材料后，从学生的德、智、体、美等方面全面衡量，计算出综合排名（具体见第四条）。</w:t>
      </w:r>
    </w:p>
    <w:p>
      <w:pPr>
        <w:spacing w:before="121" w:line="321" w:lineRule="auto"/>
        <w:ind w:right="19" w:firstLine="479"/>
        <w:jc w:val="both"/>
        <w:rPr>
          <w:rFonts w:ascii="Times New Roman" w:eastAsia="Times New Roman"/>
          <w:sz w:val="28"/>
        </w:rPr>
      </w:pPr>
      <w:r>
        <w:rPr>
          <w:rFonts w:ascii="Times New Roman" w:eastAsia="Times New Roman"/>
          <w:sz w:val="28"/>
        </w:rPr>
        <w:t>5</w:t>
      </w:r>
      <w:r>
        <w:rPr>
          <w:rFonts w:hint="eastAsia"/>
          <w:sz w:val="28"/>
        </w:rPr>
        <w:t>、经学院计算机专业推免工作领导小组审议后，确定排序名单及拟获得推免资格的名单，待学校名额确定后按序推荐。</w:t>
      </w:r>
    </w:p>
    <w:p>
      <w:pPr>
        <w:spacing w:before="121" w:line="321" w:lineRule="auto"/>
        <w:ind w:right="19" w:firstLine="559"/>
        <w:jc w:val="both"/>
        <w:rPr>
          <w:sz w:val="28"/>
        </w:rPr>
      </w:pPr>
      <w:r>
        <w:rPr>
          <w:sz w:val="28"/>
        </w:rPr>
        <w:t>计算机专业推免工作咨询和投诉联系人： 陈蕾， 联系电话021-6223</w:t>
      </w:r>
      <w:r>
        <w:rPr>
          <w:spacing w:val="-16"/>
          <w:sz w:val="28"/>
        </w:rPr>
        <w:t xml:space="preserve">3578，邮件 </w:t>
      </w:r>
      <w:r>
        <w:fldChar w:fldCharType="begin"/>
      </w:r>
      <w:r>
        <w:instrText xml:space="preserve"> HYPERLINK "mailto:lchen@cs.ecnu.edu.cn" \h </w:instrText>
      </w:r>
      <w:r>
        <w:fldChar w:fldCharType="separate"/>
      </w:r>
      <w:r>
        <w:rPr>
          <w:spacing w:val="-16"/>
          <w:sz w:val="28"/>
        </w:rPr>
        <w:t>lchen@cs.ecnu.edu.cn</w:t>
      </w:r>
      <w:r>
        <w:rPr>
          <w:spacing w:val="-16"/>
          <w:sz w:val="28"/>
        </w:rPr>
        <w:fldChar w:fldCharType="end"/>
      </w:r>
      <w:r>
        <w:rPr>
          <w:spacing w:val="-16"/>
          <w:sz w:val="28"/>
        </w:rPr>
        <w:t>。</w:t>
      </w:r>
    </w:p>
    <w:p>
      <w:pPr>
        <w:pStyle w:val="3"/>
        <w:spacing w:before="218"/>
        <w:ind w:left="0" w:right="19"/>
        <w:jc w:val="both"/>
      </w:pPr>
      <w:r>
        <w:t>四、综合排名计算办法</w:t>
      </w:r>
    </w:p>
    <w:p>
      <w:pPr>
        <w:spacing w:before="121" w:line="321" w:lineRule="auto"/>
        <w:ind w:right="19" w:firstLine="479"/>
        <w:jc w:val="both"/>
        <w:rPr>
          <w:rFonts w:ascii="Times New Roman" w:eastAsia="Times New Roman"/>
          <w:sz w:val="28"/>
        </w:rPr>
      </w:pPr>
      <w:r>
        <w:rPr>
          <w:rFonts w:ascii="Times New Roman" w:eastAsia="Times New Roman"/>
          <w:sz w:val="28"/>
        </w:rPr>
        <w:t>1</w:t>
      </w:r>
      <w:r>
        <w:rPr>
          <w:rFonts w:hint="eastAsia"/>
          <w:sz w:val="28"/>
        </w:rPr>
        <w:t>、综合排名</w:t>
      </w:r>
    </w:p>
    <w:p>
      <w:pPr>
        <w:spacing w:before="121" w:line="321" w:lineRule="auto"/>
        <w:ind w:right="19" w:firstLine="559"/>
        <w:jc w:val="both"/>
        <w:rPr>
          <w:sz w:val="28"/>
        </w:rPr>
      </w:pPr>
      <w:r>
        <w:rPr>
          <w:spacing w:val="-16"/>
          <w:sz w:val="28"/>
        </w:rPr>
        <w:t>学生的综合</w:t>
      </w:r>
      <w:r>
        <w:rPr>
          <w:rFonts w:hint="eastAsia"/>
          <w:spacing w:val="-16"/>
          <w:sz w:val="28"/>
        </w:rPr>
        <w:t>得分</w:t>
      </w:r>
      <w:r>
        <w:rPr>
          <w:spacing w:val="-16"/>
          <w:sz w:val="28"/>
        </w:rPr>
        <w:t>由学业成绩</w:t>
      </w:r>
      <w:r>
        <w:rPr>
          <w:rFonts w:hint="eastAsia"/>
          <w:spacing w:val="-16"/>
          <w:sz w:val="28"/>
        </w:rPr>
        <w:t>、</w:t>
      </w:r>
      <w:r>
        <w:rPr>
          <w:spacing w:val="-16"/>
          <w:sz w:val="28"/>
        </w:rPr>
        <w:t>素质分</w:t>
      </w:r>
      <w:r>
        <w:rPr>
          <w:rFonts w:hint="eastAsia"/>
          <w:spacing w:val="-16"/>
          <w:sz w:val="28"/>
        </w:rPr>
        <w:t>、</w:t>
      </w:r>
      <w:r>
        <w:rPr>
          <w:spacing w:val="-5"/>
          <w:sz w:val="28"/>
        </w:rPr>
        <w:t>专业能力考核分</w:t>
      </w:r>
      <w:r>
        <w:rPr>
          <w:sz w:val="28"/>
        </w:rPr>
        <w:t>（</w:t>
      </w:r>
      <w:r>
        <w:rPr>
          <w:spacing w:val="-6"/>
          <w:sz w:val="28"/>
        </w:rPr>
        <w:t>由上机考试、英语口试和面试三部分组成</w:t>
      </w:r>
      <w:r>
        <w:rPr>
          <w:spacing w:val="-140"/>
          <w:sz w:val="28"/>
        </w:rPr>
        <w:t>）</w:t>
      </w:r>
      <w:r>
        <w:rPr>
          <w:rFonts w:hint="eastAsia"/>
          <w:spacing w:val="-10"/>
          <w:sz w:val="28"/>
        </w:rPr>
        <w:t>）和</w:t>
      </w:r>
      <w:r>
        <w:rPr>
          <w:spacing w:val="-7"/>
          <w:sz w:val="28"/>
        </w:rPr>
        <w:t>扣分项</w:t>
      </w:r>
      <w:r>
        <w:rPr>
          <w:rFonts w:hint="eastAsia"/>
          <w:spacing w:val="-7"/>
          <w:sz w:val="28"/>
        </w:rPr>
        <w:t>进行</w:t>
      </w:r>
      <w:r>
        <w:rPr>
          <w:spacing w:val="-7"/>
          <w:sz w:val="28"/>
        </w:rPr>
        <w:t>计算</w:t>
      </w:r>
      <w:r>
        <w:rPr>
          <w:rFonts w:hint="eastAsia"/>
          <w:spacing w:val="-7"/>
          <w:sz w:val="28"/>
        </w:rPr>
        <w:t>，</w:t>
      </w:r>
      <w:r>
        <w:rPr>
          <w:spacing w:val="-7"/>
          <w:sz w:val="28"/>
        </w:rPr>
        <w:t>方法如下：</w:t>
      </w:r>
    </w:p>
    <w:p>
      <w:pPr>
        <w:spacing w:after="240" w:line="357" w:lineRule="exact"/>
        <w:ind w:right="17"/>
        <w:jc w:val="center"/>
        <w:rPr>
          <w:sz w:val="28"/>
        </w:rPr>
      </w:pPr>
      <w:r>
        <w:rPr>
          <w:sz w:val="28"/>
        </w:rPr>
        <w:t xml:space="preserve">学业成绩 </w:t>
      </w:r>
      <w:r>
        <w:rPr>
          <w:rFonts w:ascii="Times New Roman" w:hAnsi="Times New Roman" w:eastAsia="Times New Roman"/>
          <w:sz w:val="28"/>
        </w:rPr>
        <w:t xml:space="preserve">× 60% + </w:t>
      </w:r>
      <w:r>
        <w:rPr>
          <w:sz w:val="28"/>
        </w:rPr>
        <w:t xml:space="preserve">素质分 </w:t>
      </w:r>
      <w:r>
        <w:rPr>
          <w:rFonts w:ascii="Times New Roman" w:hAnsi="Times New Roman" w:eastAsia="Times New Roman"/>
          <w:sz w:val="28"/>
        </w:rPr>
        <w:t xml:space="preserve">× 20% + </w:t>
      </w:r>
      <w:r>
        <w:rPr>
          <w:sz w:val="28"/>
        </w:rPr>
        <w:t xml:space="preserve">专业能力考核分 </w:t>
      </w:r>
      <w:r>
        <w:rPr>
          <w:rFonts w:ascii="Times New Roman" w:hAnsi="Times New Roman" w:eastAsia="Times New Roman"/>
          <w:sz w:val="28"/>
        </w:rPr>
        <w:t>× 20%</w:t>
      </w:r>
      <w:r>
        <w:rPr>
          <w:rFonts w:ascii="Times New Roman" w:hAnsi="Times New Roman" w:eastAsia="Times New Roman"/>
          <w:sz w:val="28"/>
          <w:szCs w:val="28"/>
        </w:rPr>
        <w:t xml:space="preserve"> </w:t>
      </w:r>
      <w:r>
        <w:rPr>
          <w:sz w:val="28"/>
          <w:szCs w:val="28"/>
        </w:rPr>
        <w:t xml:space="preserve">- </w:t>
      </w:r>
      <w:r>
        <w:rPr>
          <w:sz w:val="28"/>
        </w:rPr>
        <w:t>扣分项</w:t>
      </w:r>
    </w:p>
    <w:p>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、学业成绩</w:t>
      </w:r>
    </w:p>
    <w:p>
      <w:pPr>
        <w:spacing w:before="120" w:line="321" w:lineRule="auto"/>
        <w:ind w:right="19" w:firstLine="559"/>
        <w:jc w:val="both"/>
        <w:rPr>
          <w:sz w:val="28"/>
        </w:rPr>
      </w:pPr>
      <w:r>
        <w:rPr>
          <w:sz w:val="28"/>
        </w:rPr>
        <w:t>学业成绩综合考察学生第一学年至第三学年所有已修读课程的学习情况，按照平均原始绩点进行计算，满分为 100 分，计算公式如下：</w:t>
      </w:r>
    </w:p>
    <w:p>
      <w:pPr>
        <w:spacing w:line="321" w:lineRule="auto"/>
        <w:ind w:left="2213" w:leftChars="1000" w:right="19" w:hanging="13"/>
        <w:jc w:val="both"/>
        <w:rPr>
          <w:rFonts w:ascii="Times New Roman" w:hAnsi="Times New Roman" w:eastAsia="Times New Roman"/>
          <w:sz w:val="28"/>
        </w:rPr>
      </w:pPr>
      <w:r>
        <w:rPr>
          <w:sz w:val="28"/>
        </w:rPr>
        <w:t xml:space="preserve">学业成绩 </w:t>
      </w:r>
      <w:r>
        <w:rPr>
          <w:rFonts w:ascii="Times New Roman" w:hAnsi="Times New Roman" w:eastAsia="Times New Roman"/>
          <w:sz w:val="28"/>
        </w:rPr>
        <w:t xml:space="preserve">= </w:t>
      </w:r>
      <w:r>
        <w:rPr>
          <w:sz w:val="28"/>
        </w:rPr>
        <w:t xml:space="preserve">平均原始绩点 </w:t>
      </w:r>
      <w:r>
        <w:rPr>
          <w:rFonts w:ascii="Times New Roman" w:hAnsi="Times New Roman" w:eastAsia="Times New Roman"/>
          <w:sz w:val="28"/>
        </w:rPr>
        <w:t>× 100 / 4.0</w:t>
      </w:r>
    </w:p>
    <w:p>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、素质分</w:t>
      </w:r>
    </w:p>
    <w:p>
      <w:pPr>
        <w:spacing w:before="120" w:line="321" w:lineRule="auto"/>
        <w:ind w:right="19" w:firstLine="559"/>
        <w:jc w:val="both"/>
        <w:rPr>
          <w:sz w:val="28"/>
        </w:rPr>
      </w:pPr>
      <w:r>
        <w:rPr>
          <w:sz w:val="28"/>
        </w:rPr>
        <w:t>素质分由学术分和德育分组成，最低为 0 分，最高为 100 分。学术分的具体计算办法参见附件一《2020 届计算机科学与技术专业推荐免试直升研究生学术分计算办法》。</w:t>
      </w:r>
    </w:p>
    <w:p>
      <w:pPr>
        <w:spacing w:before="120" w:line="321" w:lineRule="auto"/>
        <w:ind w:right="19" w:firstLine="559"/>
        <w:jc w:val="both"/>
        <w:rPr>
          <w:sz w:val="28"/>
        </w:rPr>
      </w:pPr>
      <w:r>
        <w:rPr>
          <w:sz w:val="28"/>
        </w:rPr>
        <w:t>德育分的计算考虑获得市级和校级优秀学生、优秀学生干部、优秀团员、优秀团员干部、青年志愿者标兵等称号，以及在校期间参军入伍服兵役、到国际组织实习（三个月及以上）等。德育分由辅导员计算并提供，其中同类奖项（称号）以最高等级计算，原则上最高不超过 20 分。</w:t>
      </w:r>
    </w:p>
    <w:p>
      <w:pPr>
        <w:spacing w:before="120" w:line="321" w:lineRule="auto"/>
        <w:ind w:right="19" w:firstLine="559"/>
        <w:jc w:val="both"/>
        <w:rPr>
          <w:sz w:val="28"/>
        </w:rPr>
      </w:pPr>
      <w:r>
        <w:rPr>
          <w:sz w:val="28"/>
        </w:rPr>
        <w:t>素质分计算公式如下：</w:t>
      </w:r>
    </w:p>
    <w:p>
      <w:pPr>
        <w:spacing w:before="122"/>
        <w:ind w:right="19"/>
        <w:jc w:val="center"/>
        <w:rPr>
          <w:sz w:val="28"/>
        </w:rPr>
      </w:pPr>
      <w:r>
        <w:rPr>
          <w:sz w:val="28"/>
        </w:rPr>
        <w:t xml:space="preserve">素质原始分 </w:t>
      </w:r>
      <w:r>
        <w:rPr>
          <w:rFonts w:ascii="Times New Roman" w:eastAsia="Times New Roman"/>
          <w:sz w:val="28"/>
        </w:rPr>
        <w:t xml:space="preserve">= </w:t>
      </w:r>
      <w:r>
        <w:rPr>
          <w:sz w:val="28"/>
        </w:rPr>
        <w:t xml:space="preserve">学术分 </w:t>
      </w:r>
      <w:r>
        <w:rPr>
          <w:rFonts w:ascii="Times New Roman" w:eastAsia="Times New Roman"/>
          <w:sz w:val="28"/>
        </w:rPr>
        <w:t xml:space="preserve">+ </w:t>
      </w:r>
      <w:r>
        <w:rPr>
          <w:sz w:val="28"/>
        </w:rPr>
        <w:t>德育分</w:t>
      </w:r>
    </w:p>
    <w:p>
      <w:pPr>
        <w:spacing w:before="121" w:line="321" w:lineRule="auto"/>
        <w:ind w:right="19"/>
        <w:jc w:val="center"/>
        <w:rPr>
          <w:rFonts w:ascii="Times New Roman" w:hAnsi="Times New Roman" w:eastAsia="Times New Roman"/>
          <w:sz w:val="28"/>
        </w:rPr>
      </w:pPr>
      <w:r>
        <w:rPr>
          <w:sz w:val="28"/>
        </w:rPr>
        <w:t xml:space="preserve">素质分 </w:t>
      </w:r>
      <w:r>
        <w:rPr>
          <w:rFonts w:ascii="Times New Roman" w:hAnsi="Times New Roman" w:eastAsia="Times New Roman"/>
          <w:sz w:val="28"/>
        </w:rPr>
        <w:t xml:space="preserve">= </w:t>
      </w:r>
      <w:r>
        <w:rPr>
          <w:sz w:val="28"/>
        </w:rPr>
        <w:t>（素质原始分</w:t>
      </w:r>
      <w:r>
        <w:rPr>
          <w:rFonts w:ascii="Times New Roman" w:hAnsi="Times New Roman" w:eastAsia="Times New Roman"/>
          <w:sz w:val="28"/>
        </w:rPr>
        <w:t>/</w:t>
      </w:r>
      <w:r>
        <w:rPr>
          <w:sz w:val="28"/>
        </w:rPr>
        <w:t>最高素质原始分）</w:t>
      </w:r>
      <w:r>
        <w:rPr>
          <w:rFonts w:ascii="Times New Roman" w:hAnsi="Times New Roman" w:eastAsia="Times New Roman"/>
          <w:sz w:val="28"/>
        </w:rPr>
        <w:t>× 100</w:t>
      </w:r>
    </w:p>
    <w:p>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、专业能力考核分</w:t>
      </w:r>
    </w:p>
    <w:p>
      <w:pPr>
        <w:spacing w:before="120" w:line="321" w:lineRule="auto"/>
        <w:ind w:right="19" w:firstLine="559"/>
        <w:jc w:val="both"/>
        <w:rPr>
          <w:sz w:val="28"/>
        </w:rPr>
      </w:pPr>
      <w:r>
        <w:rPr>
          <w:sz w:val="28"/>
        </w:rPr>
        <w:t>专业能力考核分最高为 100 分，由上机考试成绩、专业面试和外语考核组成。上机考试主要考察学生的编程实践能力，依托 EOJ 平台在机房进行考试。专业面试成绩和外语考核成绩由全部面试教师所打分数计算平均得到。三部分均为统一为百分制后，按以下占比考核专业能力：</w:t>
      </w:r>
    </w:p>
    <w:p>
      <w:pPr>
        <w:spacing w:before="121" w:line="321" w:lineRule="auto"/>
        <w:ind w:right="19" w:firstLine="479"/>
        <w:jc w:val="center"/>
        <w:rPr>
          <w:spacing w:val="-3"/>
          <w:sz w:val="28"/>
        </w:rPr>
      </w:pPr>
      <w:r>
        <w:rPr>
          <w:spacing w:val="-3"/>
          <w:sz w:val="28"/>
        </w:rPr>
        <w:t xml:space="preserve">上机考试 : 外语考核 : 专业面试 </w:t>
      </w:r>
      <w:r>
        <w:rPr>
          <w:rFonts w:ascii="Times New Roman" w:hAnsi="Times New Roman" w:eastAsia="Times New Roman"/>
          <w:sz w:val="28"/>
        </w:rPr>
        <w:t>=</w:t>
      </w:r>
      <w:r>
        <w:rPr>
          <w:spacing w:val="-3"/>
          <w:sz w:val="28"/>
        </w:rPr>
        <w:t xml:space="preserve"> 0.36 : 0.18 : 0.46</w:t>
      </w:r>
    </w:p>
    <w:p>
      <w:pPr>
        <w:spacing w:before="121" w:line="321" w:lineRule="auto"/>
        <w:ind w:right="19" w:firstLine="479"/>
        <w:jc w:val="both"/>
        <w:rPr>
          <w:sz w:val="28"/>
        </w:rPr>
      </w:pPr>
      <w:r>
        <w:rPr>
          <w:rFonts w:ascii="Times New Roman" w:eastAsia="Times New Roman"/>
          <w:sz w:val="28"/>
        </w:rPr>
        <w:t>5</w:t>
      </w:r>
      <w:r>
        <w:rPr>
          <w:rFonts w:hint="eastAsia"/>
          <w:sz w:val="28"/>
        </w:rPr>
        <w:t>、扣分项</w:t>
      </w:r>
    </w:p>
    <w:p>
      <w:pPr>
        <w:spacing w:before="120" w:line="321" w:lineRule="auto"/>
        <w:ind w:right="19" w:firstLine="559"/>
        <w:jc w:val="both"/>
        <w:rPr>
          <w:sz w:val="28"/>
        </w:rPr>
      </w:pPr>
      <w:r>
        <w:rPr>
          <w:sz w:val="28"/>
        </w:rPr>
        <w:t>申请推免的学生，如曾受过校级违纪处分，且已经过学校规定流程确定解除处分者，对综合成绩总分扣分后再进行总排名：警告处分扣 2 分；严重警告处分扣 3 分；记过处分扣 4 分；留校察看处分扣 5 分；曾受过院级通报批评扣 2 分。</w:t>
      </w:r>
    </w:p>
    <w:p>
      <w:pPr>
        <w:spacing w:before="120" w:line="321" w:lineRule="auto"/>
        <w:ind w:right="19" w:firstLine="559"/>
        <w:jc w:val="both"/>
        <w:rPr>
          <w:sz w:val="28"/>
        </w:rPr>
        <w:sectPr>
          <w:pgSz w:w="11910" w:h="16840"/>
          <w:pgMar w:top="760" w:right="1380" w:bottom="860" w:left="1580" w:header="0" w:footer="676" w:gutter="0"/>
          <w:cols w:space="720" w:num="1"/>
        </w:sectPr>
      </w:pPr>
    </w:p>
    <w:p>
      <w:pPr>
        <w:pStyle w:val="4"/>
        <w:ind w:right="19"/>
        <w:jc w:val="both"/>
      </w:pPr>
    </w:p>
    <w:p>
      <w:pPr>
        <w:pStyle w:val="4"/>
        <w:spacing w:before="4"/>
        <w:ind w:right="19"/>
        <w:jc w:val="both"/>
        <w:rPr>
          <w:sz w:val="21"/>
        </w:rPr>
      </w:pPr>
    </w:p>
    <w:p>
      <w:pPr>
        <w:pStyle w:val="4"/>
        <w:spacing w:before="1"/>
        <w:ind w:right="19"/>
        <w:jc w:val="both"/>
      </w:pPr>
      <w:r>
        <w:t>组长：陈蕾</w:t>
      </w:r>
    </w:p>
    <w:p>
      <w:pPr>
        <w:pStyle w:val="3"/>
        <w:spacing w:before="61"/>
        <w:ind w:left="0" w:right="19"/>
        <w:jc w:val="both"/>
      </w:pPr>
      <w:r>
        <w:rPr>
          <w:b w:val="0"/>
        </w:rPr>
        <w:br w:type="column"/>
      </w:r>
      <w:r>
        <w:t>计算机专业推免工作领导小组名单</w:t>
      </w:r>
    </w:p>
    <w:p>
      <w:pPr>
        <w:ind w:right="19"/>
        <w:jc w:val="both"/>
        <w:sectPr>
          <w:type w:val="continuous"/>
          <w:pgSz w:w="11910" w:h="16840"/>
          <w:pgMar w:top="760" w:right="1380" w:bottom="860" w:left="1580" w:header="720" w:footer="720" w:gutter="0"/>
          <w:cols w:equalWidth="0" w:num="2">
            <w:col w:w="1459" w:space="673"/>
            <w:col w:w="6818"/>
          </w:cols>
        </w:sectPr>
      </w:pPr>
    </w:p>
    <w:p>
      <w:pPr>
        <w:pStyle w:val="4"/>
        <w:spacing w:before="3"/>
        <w:ind w:right="19"/>
        <w:jc w:val="both"/>
        <w:rPr>
          <w:b/>
          <w:sz w:val="8"/>
        </w:rPr>
      </w:pPr>
    </w:p>
    <w:p>
      <w:pPr>
        <w:pStyle w:val="4"/>
        <w:spacing w:before="67"/>
        <w:ind w:right="19"/>
        <w:jc w:val="both"/>
      </w:pPr>
      <w:r>
        <w:t>成员：周爱民、王长波、魏同权、王莉萍、贺樑、兰曼、石亮、李晨辉、王祥丰</w:t>
      </w:r>
    </w:p>
    <w:p>
      <w:pPr>
        <w:pStyle w:val="4"/>
        <w:spacing w:before="11"/>
        <w:ind w:right="19"/>
        <w:jc w:val="both"/>
        <w:rPr>
          <w:sz w:val="26"/>
        </w:rPr>
      </w:pPr>
    </w:p>
    <w:p>
      <w:pPr>
        <w:pStyle w:val="4"/>
        <w:ind w:right="19"/>
        <w:jc w:val="both"/>
      </w:pPr>
      <w:r>
        <w:t xml:space="preserve">附件一、计算机科学与技术专业 </w:t>
      </w:r>
      <w:r>
        <w:rPr>
          <w:rFonts w:ascii="Times New Roman" w:eastAsia="Times New Roman"/>
        </w:rPr>
        <w:t xml:space="preserve">2021 </w:t>
      </w:r>
      <w:r>
        <w:t>届推荐免试直升研究生学术分计算办法</w:t>
      </w:r>
    </w:p>
    <w:p>
      <w:pPr>
        <w:pStyle w:val="4"/>
        <w:spacing w:before="173"/>
        <w:ind w:right="19"/>
        <w:jc w:val="both"/>
      </w:pPr>
      <w:r>
        <w:t xml:space="preserve">附件二、计算机科学与技术专业 </w:t>
      </w:r>
      <w:r>
        <w:rPr>
          <w:rFonts w:ascii="Times New Roman" w:eastAsia="Times New Roman"/>
        </w:rPr>
        <w:t xml:space="preserve">2021 </w:t>
      </w:r>
      <w:r>
        <w:t>届推荐免试直升研究生工作日程</w:t>
      </w:r>
    </w:p>
    <w:p>
      <w:pPr>
        <w:pStyle w:val="4"/>
        <w:ind w:right="19"/>
        <w:jc w:val="both"/>
        <w:rPr>
          <w:sz w:val="26"/>
        </w:rPr>
      </w:pPr>
    </w:p>
    <w:p>
      <w:pPr>
        <w:pStyle w:val="4"/>
        <w:spacing w:before="10"/>
        <w:ind w:right="19"/>
        <w:jc w:val="both"/>
        <w:rPr>
          <w:sz w:val="18"/>
        </w:rPr>
      </w:pPr>
    </w:p>
    <w:p>
      <w:pPr>
        <w:ind w:right="19"/>
        <w:jc w:val="right"/>
        <w:rPr>
          <w:sz w:val="28"/>
        </w:rPr>
      </w:pPr>
      <w:r>
        <w:rPr>
          <w:spacing w:val="-3"/>
          <w:sz w:val="28"/>
        </w:rPr>
        <w:t>计算机科学与技术学院</w:t>
      </w:r>
    </w:p>
    <w:p>
      <w:pPr>
        <w:spacing w:before="121"/>
        <w:ind w:right="19"/>
        <w:jc w:val="right"/>
        <w:rPr>
          <w:sz w:val="28"/>
        </w:rPr>
      </w:pPr>
      <w:r>
        <w:rPr>
          <w:rFonts w:ascii="Times New Roman" w:eastAsia="Times New Roman"/>
          <w:sz w:val="28"/>
        </w:rPr>
        <w:t xml:space="preserve">2020 </w:t>
      </w:r>
      <w:r>
        <w:rPr>
          <w:spacing w:val="-35"/>
          <w:sz w:val="28"/>
        </w:rPr>
        <w:t xml:space="preserve">年  </w:t>
      </w:r>
      <w:r>
        <w:rPr>
          <w:rFonts w:ascii="Times New Roman" w:eastAsia="Times New Roman"/>
          <w:sz w:val="28"/>
        </w:rPr>
        <w:t xml:space="preserve">7 </w:t>
      </w:r>
      <w:r>
        <w:rPr>
          <w:sz w:val="28"/>
        </w:rPr>
        <w:t>月</w:t>
      </w:r>
    </w:p>
    <w:p>
      <w:pPr>
        <w:ind w:right="19"/>
        <w:jc w:val="both"/>
        <w:rPr>
          <w:sz w:val="28"/>
        </w:rPr>
        <w:sectPr>
          <w:type w:val="continuous"/>
          <w:pgSz w:w="11910" w:h="16840"/>
          <w:pgMar w:top="760" w:right="1380" w:bottom="860" w:left="1580" w:header="720" w:footer="720" w:gutter="0"/>
          <w:cols w:space="720" w:num="1"/>
        </w:sectPr>
      </w:pPr>
    </w:p>
    <w:p>
      <w:pPr>
        <w:pStyle w:val="2"/>
        <w:spacing w:line="388" w:lineRule="auto"/>
        <w:ind w:left="0" w:right="19"/>
        <w:jc w:val="both"/>
        <w:rPr>
          <w:spacing w:val="-17"/>
        </w:rPr>
      </w:pPr>
    </w:p>
    <w:p>
      <w:pPr>
        <w:pStyle w:val="2"/>
        <w:spacing w:line="388" w:lineRule="auto"/>
        <w:ind w:left="0" w:right="19"/>
        <w:jc w:val="both"/>
      </w:pPr>
      <w:r>
        <w:rPr>
          <w:spacing w:val="-17"/>
        </w:rPr>
        <w:t>附件一、</w:t>
      </w:r>
      <w:r>
        <w:fldChar w:fldCharType="begin"/>
      </w:r>
      <w:r>
        <w:instrText xml:space="preserve"> HYPERLINK "http://www.cs.ecnu.edu.cn/student/kejifen.htm" \h </w:instrText>
      </w:r>
      <w:r>
        <w:fldChar w:fldCharType="separate"/>
      </w:r>
      <w:r>
        <w:rPr>
          <w:spacing w:val="-7"/>
        </w:rPr>
        <w:t xml:space="preserve">计算机科学与技术专业 </w:t>
      </w:r>
      <w:r>
        <w:rPr>
          <w:spacing w:val="-7"/>
        </w:rPr>
        <w:fldChar w:fldCharType="end"/>
      </w:r>
      <w:r>
        <w:t>2021</w:t>
      </w:r>
      <w:r>
        <w:rPr>
          <w:spacing w:val="-10"/>
        </w:rPr>
        <w:t xml:space="preserve"> 届推荐免试直升研究生学术</w:t>
      </w:r>
      <w:r>
        <w:t>分计算办法</w:t>
      </w:r>
    </w:p>
    <w:p>
      <w:pPr>
        <w:pStyle w:val="4"/>
        <w:spacing w:before="167" w:line="242" w:lineRule="auto"/>
        <w:ind w:right="19" w:firstLine="567"/>
        <w:jc w:val="both"/>
        <w:rPr>
          <w:rFonts w:ascii="华文仿宋" w:hAnsi="华文仿宋" w:eastAsia="华文仿宋" w:cs="华文仿宋"/>
          <w:sz w:val="28"/>
          <w:szCs w:val="28"/>
        </w:rPr>
      </w:pPr>
      <w:r>
        <w:rPr>
          <w:rFonts w:hint="eastAsia" w:ascii="华文仿宋" w:hAnsi="华文仿宋" w:eastAsia="华文仿宋" w:cs="华文仿宋"/>
          <w:spacing w:val="-2"/>
          <w:sz w:val="28"/>
          <w:szCs w:val="28"/>
        </w:rPr>
        <w:t>为了鼓励计算机科学技术专业</w:t>
      </w:r>
      <w:r>
        <w:rPr>
          <w:rFonts w:hint="eastAsia" w:ascii="华文仿宋" w:hAnsi="华文仿宋" w:eastAsia="华文仿宋" w:cs="华文仿宋"/>
          <w:sz w:val="28"/>
          <w:szCs w:val="28"/>
        </w:rPr>
        <w:t>（</w:t>
      </w:r>
      <w:r>
        <w:rPr>
          <w:rFonts w:hint="eastAsia" w:ascii="华文仿宋" w:hAnsi="华文仿宋" w:eastAsia="华文仿宋" w:cs="华文仿宋"/>
          <w:spacing w:val="-5"/>
          <w:sz w:val="28"/>
          <w:szCs w:val="28"/>
        </w:rPr>
        <w:t>以下简称“计算机专业</w:t>
      </w:r>
      <w:r>
        <w:rPr>
          <w:rFonts w:hint="eastAsia" w:ascii="华文仿宋" w:hAnsi="华文仿宋" w:eastAsia="华文仿宋" w:cs="华文仿宋"/>
          <w:spacing w:val="-24"/>
          <w:sz w:val="28"/>
          <w:szCs w:val="28"/>
        </w:rPr>
        <w:t>”）</w:t>
      </w:r>
      <w:r>
        <w:rPr>
          <w:rFonts w:hint="eastAsia" w:ascii="华文仿宋" w:hAnsi="华文仿宋" w:eastAsia="华文仿宋" w:cs="华文仿宋"/>
          <w:spacing w:val="-2"/>
          <w:sz w:val="28"/>
          <w:szCs w:val="28"/>
        </w:rPr>
        <w:t>学生积极参与各项科研</w:t>
      </w:r>
      <w:r>
        <w:rPr>
          <w:rFonts w:hint="eastAsia" w:ascii="华文仿宋" w:hAnsi="华文仿宋" w:eastAsia="华文仿宋" w:cs="华文仿宋"/>
          <w:sz w:val="28"/>
          <w:szCs w:val="28"/>
        </w:rPr>
        <w:t>学术活动，有利于选拔具有一定科研能力和实践能力的优秀本科生推荐免试直升研究生，现作如下规定：</w:t>
      </w:r>
    </w:p>
    <w:p>
      <w:pPr>
        <w:pStyle w:val="4"/>
        <w:numPr>
          <w:ilvl w:val="0"/>
          <w:numId w:val="1"/>
        </w:numPr>
        <w:spacing w:before="120" w:beforeLines="50"/>
        <w:ind w:right="17"/>
        <w:jc w:val="both"/>
        <w:rPr>
          <w:rFonts w:ascii="华文仿宋" w:hAnsi="华文仿宋" w:eastAsia="华文仿宋" w:cs="华文仿宋"/>
          <w:spacing w:val="-7"/>
          <w:sz w:val="28"/>
          <w:szCs w:val="28"/>
        </w:rPr>
      </w:pPr>
      <w:r>
        <w:rPr>
          <w:rFonts w:ascii="华文仿宋" w:hAnsi="华文仿宋" w:eastAsia="华文仿宋" w:cs="华文仿宋"/>
          <w:spacing w:val="-7"/>
          <w:sz w:val="28"/>
          <w:szCs w:val="28"/>
        </w:rPr>
        <w:t>认定小组</w:t>
      </w:r>
    </w:p>
    <w:p>
      <w:pPr>
        <w:pStyle w:val="4"/>
        <w:spacing w:before="167" w:line="242" w:lineRule="auto"/>
        <w:ind w:right="19" w:firstLine="567"/>
        <w:jc w:val="both"/>
        <w:rPr>
          <w:rFonts w:ascii="华文仿宋" w:hAnsi="华文仿宋" w:eastAsia="华文仿宋" w:cs="华文仿宋"/>
          <w:spacing w:val="-2"/>
          <w:sz w:val="28"/>
          <w:szCs w:val="28"/>
        </w:rPr>
      </w:pPr>
      <w:r>
        <w:rPr>
          <w:rFonts w:hint="eastAsia" w:ascii="华文仿宋" w:hAnsi="华文仿宋" w:eastAsia="华文仿宋" w:cs="华文仿宋"/>
          <w:spacing w:val="-2"/>
          <w:sz w:val="28"/>
          <w:szCs w:val="28"/>
        </w:rPr>
        <w:t>计算机学院成立由院领导担任组长、教师代表和本科生辅导员组成的评审小组，负责对学生参加科研学术活动的加分进行认定。</w:t>
      </w:r>
    </w:p>
    <w:p>
      <w:pPr>
        <w:pStyle w:val="4"/>
        <w:numPr>
          <w:ilvl w:val="0"/>
          <w:numId w:val="1"/>
        </w:numPr>
        <w:spacing w:before="120" w:beforeLines="50"/>
        <w:ind w:right="17"/>
        <w:jc w:val="both"/>
        <w:rPr>
          <w:rFonts w:ascii="华文仿宋" w:hAnsi="华文仿宋" w:eastAsia="华文仿宋" w:cs="华文仿宋"/>
          <w:spacing w:val="-7"/>
          <w:sz w:val="28"/>
          <w:szCs w:val="28"/>
        </w:rPr>
      </w:pPr>
      <w:r>
        <w:rPr>
          <w:rFonts w:ascii="华文仿宋" w:hAnsi="华文仿宋" w:eastAsia="华文仿宋" w:cs="华文仿宋"/>
          <w:spacing w:val="-7"/>
          <w:sz w:val="28"/>
          <w:szCs w:val="28"/>
        </w:rPr>
        <w:t>认定范围</w:t>
      </w:r>
    </w:p>
    <w:p>
      <w:pPr>
        <w:pStyle w:val="4"/>
        <w:spacing w:before="167" w:line="242" w:lineRule="auto"/>
        <w:ind w:right="19" w:firstLine="567"/>
        <w:jc w:val="both"/>
        <w:rPr>
          <w:rFonts w:ascii="华文仿宋" w:hAnsi="华文仿宋" w:eastAsia="华文仿宋" w:cs="华文仿宋"/>
          <w:spacing w:val="-2"/>
          <w:sz w:val="28"/>
          <w:szCs w:val="28"/>
        </w:rPr>
      </w:pPr>
      <w:r>
        <w:rPr>
          <w:rFonts w:hint="eastAsia" w:ascii="华文仿宋" w:hAnsi="华文仿宋" w:eastAsia="华文仿宋" w:cs="华文仿宋"/>
          <w:spacing w:val="-2"/>
          <w:sz w:val="28"/>
          <w:szCs w:val="28"/>
        </w:rPr>
        <w:t>对学生参加各级学术会议、在各级杂志公开发表论文、各级科技竞赛获奖记以学术分，每位学生累计的学术分将作为免试直升研究生的依据。</w:t>
      </w:r>
    </w:p>
    <w:p>
      <w:pPr>
        <w:pStyle w:val="4"/>
        <w:numPr>
          <w:ilvl w:val="0"/>
          <w:numId w:val="1"/>
        </w:numPr>
        <w:spacing w:before="120" w:beforeLines="50"/>
        <w:ind w:right="17"/>
        <w:jc w:val="both"/>
        <w:rPr>
          <w:rFonts w:ascii="华文仿宋" w:hAnsi="华文仿宋" w:eastAsia="华文仿宋" w:cs="华文仿宋"/>
          <w:spacing w:val="-7"/>
          <w:sz w:val="28"/>
          <w:szCs w:val="28"/>
        </w:rPr>
      </w:pPr>
      <w:r>
        <w:rPr>
          <w:rFonts w:hint="eastAsia" w:ascii="华文仿宋" w:hAnsi="华文仿宋" w:eastAsia="华文仿宋" w:cs="华文仿宋"/>
          <w:spacing w:val="-7"/>
          <w:sz w:val="28"/>
          <w:szCs w:val="28"/>
        </w:rPr>
        <w:t>计分办法</w:t>
      </w:r>
    </w:p>
    <w:p>
      <w:pPr>
        <w:pStyle w:val="4"/>
        <w:spacing w:before="167" w:after="120" w:line="242" w:lineRule="auto"/>
        <w:ind w:right="17" w:firstLine="567"/>
        <w:jc w:val="both"/>
        <w:rPr>
          <w:rFonts w:ascii="华文仿宋" w:hAnsi="华文仿宋" w:eastAsia="华文仿宋" w:cs="华文仿宋"/>
          <w:spacing w:val="-2"/>
          <w:sz w:val="28"/>
          <w:szCs w:val="28"/>
        </w:rPr>
      </w:pPr>
      <w:r>
        <w:rPr>
          <w:rFonts w:hint="eastAsia" w:ascii="华文仿宋" w:hAnsi="华文仿宋" w:eastAsia="华文仿宋" w:cs="华文仿宋"/>
          <w:spacing w:val="-2"/>
          <w:sz w:val="28"/>
          <w:szCs w:val="28"/>
        </w:rPr>
        <w:t>学术分由科技竞赛类和论文专利类构成，每位学生一般最高可获得200 分。</w:t>
      </w:r>
      <w:r>
        <w:rPr>
          <w:rFonts w:ascii="华文仿宋" w:hAnsi="华文仿宋" w:eastAsia="华文仿宋" w:cs="华文仿宋"/>
          <w:spacing w:val="-2"/>
          <w:sz w:val="28"/>
          <w:szCs w:val="28"/>
        </w:rPr>
        <w:t>顶级</w:t>
      </w:r>
      <w:r>
        <w:rPr>
          <w:rFonts w:hint="eastAsia" w:ascii="华文仿宋" w:hAnsi="华文仿宋" w:eastAsia="华文仿宋" w:cs="华文仿宋"/>
          <w:spacing w:val="-2"/>
          <w:sz w:val="28"/>
          <w:szCs w:val="28"/>
        </w:rPr>
        <w:t>学科竞赛可累加相应分值至400。</w:t>
      </w:r>
    </w:p>
    <w:p>
      <w:pPr>
        <w:pStyle w:val="4"/>
        <w:spacing w:before="5"/>
        <w:ind w:right="17"/>
        <w:jc w:val="both"/>
        <w:rPr>
          <w:rFonts w:ascii="华文仿宋" w:hAnsi="华文仿宋" w:eastAsia="华文仿宋" w:cs="华文仿宋"/>
          <w:b/>
          <w:bCs/>
          <w:sz w:val="28"/>
          <w:szCs w:val="28"/>
        </w:rPr>
      </w:pPr>
      <w:r>
        <w:rPr>
          <w:rFonts w:hint="eastAsia" w:ascii="华文仿宋" w:hAnsi="华文仿宋" w:eastAsia="华文仿宋" w:cs="华文仿宋"/>
          <w:b/>
          <w:bCs/>
          <w:sz w:val="28"/>
          <w:szCs w:val="28"/>
        </w:rPr>
        <w:t>1、科技竞赛类</w:t>
      </w:r>
    </w:p>
    <w:p>
      <w:pPr>
        <w:pStyle w:val="10"/>
        <w:tabs>
          <w:tab w:val="left" w:pos="819"/>
        </w:tabs>
        <w:spacing w:before="2"/>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8"/>
          <w:sz w:val="28"/>
          <w:szCs w:val="28"/>
        </w:rPr>
        <w:t xml:space="preserve">(1) </w:t>
      </w:r>
      <w:r>
        <w:rPr>
          <w:rFonts w:hint="eastAsia" w:ascii="华文仿宋" w:hAnsi="华文仿宋" w:eastAsia="华文仿宋" w:cs="华文仿宋"/>
          <w:spacing w:val="-8"/>
          <w:sz w:val="28"/>
          <w:szCs w:val="28"/>
        </w:rPr>
        <w:t xml:space="preserve">按组织范围分为 </w:t>
      </w:r>
      <w:r>
        <w:rPr>
          <w:rFonts w:hint="eastAsia" w:ascii="华文仿宋" w:hAnsi="华文仿宋" w:eastAsia="华文仿宋" w:cs="华文仿宋"/>
          <w:sz w:val="28"/>
          <w:szCs w:val="28"/>
        </w:rPr>
        <w:t>4</w:t>
      </w:r>
      <w:r>
        <w:rPr>
          <w:rFonts w:hint="eastAsia" w:ascii="华文仿宋" w:hAnsi="华文仿宋" w:eastAsia="华文仿宋" w:cs="华文仿宋"/>
          <w:spacing w:val="-9"/>
          <w:sz w:val="28"/>
          <w:szCs w:val="28"/>
        </w:rPr>
        <w:t xml:space="preserve"> 个等级</w:t>
      </w:r>
      <w:r>
        <w:rPr>
          <w:rFonts w:hint="default" w:ascii="华文仿宋" w:hAnsi="华文仿宋" w:eastAsia="华文仿宋" w:cs="华文仿宋"/>
          <w:spacing w:val="-9"/>
          <w:sz w:val="28"/>
          <w:szCs w:val="28"/>
        </w:rPr>
        <w:t>，</w:t>
      </w:r>
      <w:r>
        <w:rPr>
          <w:rFonts w:hint="eastAsia" w:ascii="华文仿宋" w:hAnsi="华文仿宋" w:eastAsia="华文仿宋" w:cs="华文仿宋"/>
          <w:sz w:val="28"/>
          <w:szCs w:val="28"/>
        </w:rPr>
        <w:t xml:space="preserve">表 </w:t>
      </w:r>
      <w:r>
        <w:rPr>
          <w:rFonts w:ascii="华文仿宋" w:hAnsi="华文仿宋" w:eastAsia="华文仿宋" w:cs="华文仿宋"/>
          <w:sz w:val="28"/>
          <w:szCs w:val="28"/>
        </w:rPr>
        <w:t>1</w:t>
      </w:r>
      <w:r>
        <w:rPr>
          <w:rFonts w:hint="eastAsia" w:ascii="华文仿宋" w:hAnsi="华文仿宋" w:eastAsia="华文仿宋" w:cs="华文仿宋"/>
          <w:sz w:val="28"/>
          <w:szCs w:val="28"/>
        </w:rPr>
        <w:t xml:space="preserve"> 列出了不同级别获最高名次或最高等级的学术分。</w:t>
      </w:r>
      <w:r>
        <w:rPr>
          <w:rFonts w:ascii="华文仿宋" w:hAnsi="华文仿宋" w:eastAsia="华文仿宋" w:cs="华文仿宋"/>
          <w:sz w:val="28"/>
          <w:szCs w:val="28"/>
        </w:rPr>
        <w:t>表2列出了顶级学科竞赛的相应学术分。</w:t>
      </w:r>
    </w:p>
    <w:p>
      <w:pPr>
        <w:pStyle w:val="4"/>
        <w:spacing w:before="3"/>
        <w:ind w:right="19"/>
        <w:jc w:val="both"/>
        <w:rPr>
          <w:sz w:val="22"/>
        </w:rPr>
      </w:pPr>
    </w:p>
    <w:p>
      <w:pPr>
        <w:pStyle w:val="4"/>
        <w:ind w:right="19"/>
        <w:jc w:val="center"/>
        <w:rPr>
          <w:sz w:val="21"/>
          <w:szCs w:val="21"/>
        </w:rPr>
      </w:pPr>
      <w:r>
        <w:rPr>
          <w:sz w:val="21"/>
          <w:szCs w:val="21"/>
        </w:rPr>
        <w:t>表 1  科技竞赛等级与学术分</w:t>
      </w:r>
    </w:p>
    <w:tbl>
      <w:tblPr>
        <w:tblStyle w:val="8"/>
        <w:tblW w:w="0" w:type="auto"/>
        <w:tblInd w:w="14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65"/>
        <w:gridCol w:w="1144"/>
        <w:gridCol w:w="1140"/>
        <w:gridCol w:w="1135"/>
        <w:gridCol w:w="1275"/>
      </w:tblGrid>
      <w:tr>
        <w:trPr>
          <w:trHeight w:val="311" w:hRule="atLeast"/>
        </w:trPr>
        <w:tc>
          <w:tcPr>
            <w:tcW w:w="1265" w:type="dxa"/>
            <w:tcBorders>
              <w:left w:val="single" w:color="000000" w:sz="6" w:space="0"/>
            </w:tcBorders>
          </w:tcPr>
          <w:p>
            <w:pPr>
              <w:pStyle w:val="11"/>
              <w:ind w:left="0" w:right="19"/>
              <w:jc w:val="center"/>
              <w:rPr>
                <w:b/>
                <w:bCs/>
                <w:sz w:val="24"/>
              </w:rPr>
            </w:pPr>
            <w:r>
              <w:rPr>
                <w:b/>
                <w:bCs/>
                <w:sz w:val="24"/>
              </w:rPr>
              <w:t>等级</w:t>
            </w:r>
          </w:p>
        </w:tc>
        <w:tc>
          <w:tcPr>
            <w:tcW w:w="1144" w:type="dxa"/>
          </w:tcPr>
          <w:p>
            <w:pPr>
              <w:pStyle w:val="11"/>
              <w:ind w:left="0" w:right="19"/>
              <w:jc w:val="center"/>
              <w:rPr>
                <w:b/>
                <w:bCs/>
                <w:sz w:val="24"/>
              </w:rPr>
            </w:pPr>
            <w:r>
              <w:rPr>
                <w:b/>
                <w:bCs/>
                <w:sz w:val="24"/>
              </w:rPr>
              <w:t>1</w:t>
            </w:r>
          </w:p>
        </w:tc>
        <w:tc>
          <w:tcPr>
            <w:tcW w:w="1140" w:type="dxa"/>
          </w:tcPr>
          <w:p>
            <w:pPr>
              <w:pStyle w:val="11"/>
              <w:ind w:left="0" w:right="19"/>
              <w:jc w:val="center"/>
              <w:rPr>
                <w:b/>
                <w:bCs/>
                <w:sz w:val="24"/>
              </w:rPr>
            </w:pPr>
            <w:r>
              <w:rPr>
                <w:b/>
                <w:bCs/>
                <w:sz w:val="24"/>
              </w:rPr>
              <w:t>2</w:t>
            </w:r>
          </w:p>
        </w:tc>
        <w:tc>
          <w:tcPr>
            <w:tcW w:w="1135" w:type="dxa"/>
          </w:tcPr>
          <w:p>
            <w:pPr>
              <w:pStyle w:val="11"/>
              <w:ind w:left="0" w:right="19"/>
              <w:jc w:val="center"/>
              <w:rPr>
                <w:b/>
                <w:bCs/>
                <w:sz w:val="24"/>
              </w:rPr>
            </w:pPr>
            <w:r>
              <w:rPr>
                <w:b/>
                <w:bCs/>
                <w:sz w:val="24"/>
              </w:rPr>
              <w:t>3</w:t>
            </w:r>
          </w:p>
        </w:tc>
        <w:tc>
          <w:tcPr>
            <w:tcW w:w="1275" w:type="dxa"/>
            <w:tcBorders>
              <w:right w:val="single" w:color="000000" w:sz="6" w:space="0"/>
            </w:tcBorders>
          </w:tcPr>
          <w:p>
            <w:pPr>
              <w:pStyle w:val="11"/>
              <w:ind w:left="0" w:right="19"/>
              <w:jc w:val="center"/>
              <w:rPr>
                <w:b/>
                <w:bCs/>
                <w:sz w:val="24"/>
              </w:rPr>
            </w:pPr>
            <w:r>
              <w:rPr>
                <w:b/>
                <w:bCs/>
                <w:sz w:val="24"/>
              </w:rPr>
              <w:t>4</w:t>
            </w:r>
          </w:p>
        </w:tc>
      </w:tr>
      <w:tr>
        <w:trPr>
          <w:trHeight w:val="313" w:hRule="atLeast"/>
        </w:trPr>
        <w:tc>
          <w:tcPr>
            <w:tcW w:w="1265" w:type="dxa"/>
            <w:tcBorders>
              <w:left w:val="single" w:color="000000" w:sz="6" w:space="0"/>
            </w:tcBorders>
          </w:tcPr>
          <w:p>
            <w:pPr>
              <w:pStyle w:val="11"/>
              <w:spacing w:before="4"/>
              <w:ind w:left="0" w:right="19"/>
              <w:jc w:val="center"/>
              <w:rPr>
                <w:sz w:val="24"/>
              </w:rPr>
            </w:pPr>
            <w:r>
              <w:rPr>
                <w:sz w:val="24"/>
              </w:rPr>
              <w:t>学术分</w:t>
            </w:r>
          </w:p>
        </w:tc>
        <w:tc>
          <w:tcPr>
            <w:tcW w:w="1144" w:type="dxa"/>
          </w:tcPr>
          <w:p>
            <w:pPr>
              <w:pStyle w:val="11"/>
              <w:spacing w:before="4"/>
              <w:ind w:left="0" w:right="19"/>
              <w:jc w:val="center"/>
              <w:rPr>
                <w:sz w:val="24"/>
              </w:rPr>
            </w:pPr>
            <w:r>
              <w:rPr>
                <w:sz w:val="24"/>
              </w:rPr>
              <w:t>80</w:t>
            </w:r>
          </w:p>
        </w:tc>
        <w:tc>
          <w:tcPr>
            <w:tcW w:w="1140" w:type="dxa"/>
          </w:tcPr>
          <w:p>
            <w:pPr>
              <w:pStyle w:val="11"/>
              <w:spacing w:before="4"/>
              <w:ind w:left="0" w:right="19"/>
              <w:jc w:val="center"/>
              <w:rPr>
                <w:sz w:val="24"/>
              </w:rPr>
            </w:pPr>
            <w:r>
              <w:rPr>
                <w:sz w:val="24"/>
              </w:rPr>
              <w:t>60</w:t>
            </w:r>
          </w:p>
        </w:tc>
        <w:tc>
          <w:tcPr>
            <w:tcW w:w="1135" w:type="dxa"/>
          </w:tcPr>
          <w:p>
            <w:pPr>
              <w:pStyle w:val="11"/>
              <w:spacing w:before="4"/>
              <w:ind w:left="0" w:right="19"/>
              <w:jc w:val="center"/>
              <w:rPr>
                <w:sz w:val="24"/>
              </w:rPr>
            </w:pPr>
            <w:r>
              <w:rPr>
                <w:sz w:val="24"/>
              </w:rPr>
              <w:t>40</w:t>
            </w:r>
          </w:p>
        </w:tc>
        <w:tc>
          <w:tcPr>
            <w:tcW w:w="1275" w:type="dxa"/>
            <w:tcBorders>
              <w:right w:val="single" w:color="000000" w:sz="6" w:space="0"/>
            </w:tcBorders>
          </w:tcPr>
          <w:p>
            <w:pPr>
              <w:pStyle w:val="11"/>
              <w:spacing w:before="4"/>
              <w:ind w:left="0" w:right="19"/>
              <w:jc w:val="center"/>
              <w:rPr>
                <w:sz w:val="24"/>
              </w:rPr>
            </w:pPr>
            <w:r>
              <w:rPr>
                <w:sz w:val="24"/>
              </w:rPr>
              <w:t>20</w:t>
            </w:r>
          </w:p>
        </w:tc>
      </w:tr>
    </w:tbl>
    <w:p>
      <w:pPr>
        <w:pStyle w:val="4"/>
        <w:ind w:right="19"/>
        <w:jc w:val="both"/>
      </w:pPr>
    </w:p>
    <w:p>
      <w:pPr>
        <w:pStyle w:val="4"/>
        <w:spacing w:before="1"/>
        <w:ind w:right="19"/>
        <w:jc w:val="center"/>
        <w:rPr>
          <w:sz w:val="21"/>
          <w:szCs w:val="21"/>
        </w:rPr>
      </w:pPr>
      <w:r>
        <w:rPr>
          <w:sz w:val="21"/>
          <w:szCs w:val="21"/>
        </w:rPr>
        <w:t>表 2  顶级学科竞赛学术分</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61"/>
        <w:gridCol w:w="1800"/>
        <w:gridCol w:w="1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4861" w:type="dxa"/>
            <w:vAlign w:val="center"/>
          </w:tcPr>
          <w:p>
            <w:pPr>
              <w:pStyle w:val="11"/>
              <w:spacing w:line="240" w:lineRule="auto"/>
              <w:ind w:left="0" w:right="19"/>
              <w:jc w:val="both"/>
              <w:rPr>
                <w:b/>
                <w:bCs/>
                <w:sz w:val="24"/>
              </w:rPr>
            </w:pPr>
            <w:r>
              <w:rPr>
                <w:b/>
                <w:bCs/>
                <w:sz w:val="24"/>
              </w:rPr>
              <w:t>竞赛名称</w:t>
            </w:r>
          </w:p>
        </w:tc>
        <w:tc>
          <w:tcPr>
            <w:tcW w:w="1800" w:type="dxa"/>
            <w:vAlign w:val="center"/>
          </w:tcPr>
          <w:p>
            <w:pPr>
              <w:pStyle w:val="11"/>
              <w:spacing w:line="240" w:lineRule="auto"/>
              <w:ind w:left="0" w:right="19"/>
              <w:jc w:val="both"/>
              <w:rPr>
                <w:b/>
                <w:bCs/>
                <w:sz w:val="24"/>
              </w:rPr>
            </w:pPr>
            <w:r>
              <w:rPr>
                <w:b/>
                <w:bCs/>
                <w:sz w:val="24"/>
              </w:rPr>
              <w:t>学术分</w:t>
            </w:r>
          </w:p>
        </w:tc>
        <w:tc>
          <w:tcPr>
            <w:tcW w:w="1800" w:type="dxa"/>
            <w:vAlign w:val="center"/>
          </w:tcPr>
          <w:p>
            <w:pPr>
              <w:pStyle w:val="11"/>
              <w:spacing w:line="240" w:lineRule="auto"/>
              <w:ind w:left="0" w:right="19"/>
              <w:jc w:val="both"/>
              <w:rPr>
                <w:b/>
                <w:bCs/>
                <w:sz w:val="24"/>
              </w:rPr>
            </w:pPr>
            <w:r>
              <w:rPr>
                <w:b/>
                <w:bCs/>
                <w:sz w:val="24"/>
              </w:rPr>
              <w:t>备注</w:t>
            </w:r>
          </w:p>
        </w:tc>
      </w:tr>
      <w:tr>
        <w:trPr>
          <w:trHeight w:val="262" w:hRule="atLeast"/>
          <w:jc w:val="center"/>
        </w:trPr>
        <w:tc>
          <w:tcPr>
            <w:tcW w:w="4861" w:type="dxa"/>
            <w:vAlign w:val="center"/>
          </w:tcPr>
          <w:p>
            <w:pPr>
              <w:pStyle w:val="11"/>
              <w:spacing w:line="240" w:lineRule="auto"/>
              <w:ind w:left="0" w:right="19"/>
              <w:jc w:val="both"/>
              <w:rPr>
                <w:sz w:val="24"/>
              </w:rPr>
            </w:pPr>
            <w:r>
              <w:rPr>
                <w:sz w:val="24"/>
              </w:rPr>
              <w:t>ACM-ICPC World Final          金/银/铜</w:t>
            </w:r>
          </w:p>
        </w:tc>
        <w:tc>
          <w:tcPr>
            <w:tcW w:w="1800" w:type="dxa"/>
            <w:vAlign w:val="center"/>
          </w:tcPr>
          <w:p>
            <w:pPr>
              <w:pStyle w:val="11"/>
              <w:spacing w:line="240" w:lineRule="auto"/>
              <w:ind w:left="0" w:right="19"/>
              <w:jc w:val="both"/>
              <w:rPr>
                <w:sz w:val="24"/>
              </w:rPr>
            </w:pPr>
            <w:r>
              <w:rPr>
                <w:sz w:val="24"/>
              </w:rPr>
              <w:t>500/400/300</w:t>
            </w:r>
          </w:p>
        </w:tc>
        <w:tc>
          <w:tcPr>
            <w:tcW w:w="1800" w:type="dxa"/>
            <w:vMerge w:val="restart"/>
            <w:vAlign w:val="center"/>
          </w:tcPr>
          <w:p>
            <w:pPr>
              <w:pStyle w:val="11"/>
              <w:spacing w:line="240" w:lineRule="auto"/>
              <w:ind w:left="0" w:right="19"/>
              <w:jc w:val="both"/>
              <w:rPr>
                <w:sz w:val="24"/>
              </w:rPr>
            </w:pPr>
            <w:r>
              <w:rPr>
                <w:sz w:val="24"/>
              </w:rPr>
              <w:t>允许累加</w:t>
            </w:r>
          </w:p>
          <w:p>
            <w:pPr>
              <w:pStyle w:val="11"/>
              <w:spacing w:line="240" w:lineRule="auto"/>
              <w:ind w:left="0" w:right="19"/>
              <w:jc w:val="both"/>
              <w:rPr>
                <w:sz w:val="24"/>
              </w:rPr>
            </w:pPr>
            <w:r>
              <w:rPr>
                <w:sz w:val="24"/>
              </w:rPr>
              <w:t>至400分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6" w:hRule="atLeast"/>
          <w:jc w:val="center"/>
        </w:trPr>
        <w:tc>
          <w:tcPr>
            <w:tcW w:w="4861" w:type="dxa"/>
            <w:vAlign w:val="center"/>
          </w:tcPr>
          <w:p>
            <w:pPr>
              <w:pStyle w:val="11"/>
              <w:spacing w:line="240" w:lineRule="auto"/>
              <w:ind w:left="0" w:right="19"/>
              <w:jc w:val="both"/>
              <w:rPr>
                <w:sz w:val="24"/>
              </w:rPr>
            </w:pPr>
            <w:r>
              <w:rPr>
                <w:sz w:val="24"/>
              </w:rPr>
              <w:t>ACM-ICPC World Final</w:t>
            </w:r>
          </w:p>
        </w:tc>
        <w:tc>
          <w:tcPr>
            <w:tcW w:w="1800" w:type="dxa"/>
            <w:vAlign w:val="center"/>
          </w:tcPr>
          <w:p>
            <w:pPr>
              <w:pStyle w:val="11"/>
              <w:spacing w:line="240" w:lineRule="auto"/>
              <w:ind w:left="0" w:right="19"/>
              <w:jc w:val="both"/>
              <w:rPr>
                <w:sz w:val="24"/>
              </w:rPr>
            </w:pPr>
            <w:r>
              <w:rPr>
                <w:sz w:val="24"/>
              </w:rPr>
              <w:t>200</w:t>
            </w:r>
          </w:p>
        </w:tc>
        <w:tc>
          <w:tcPr>
            <w:tcW w:w="1800" w:type="dxa"/>
            <w:vMerge w:val="continue"/>
            <w:vAlign w:val="center"/>
          </w:tcPr>
          <w:p>
            <w:pPr>
              <w:pStyle w:val="11"/>
              <w:spacing w:line="240" w:lineRule="auto"/>
              <w:ind w:left="0" w:right="19"/>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4861" w:type="dxa"/>
            <w:vAlign w:val="center"/>
          </w:tcPr>
          <w:p>
            <w:pPr>
              <w:pStyle w:val="11"/>
              <w:ind w:left="0" w:right="19"/>
              <w:jc w:val="both"/>
              <w:rPr>
                <w:sz w:val="24"/>
              </w:rPr>
            </w:pPr>
            <w:r>
              <w:rPr>
                <w:sz w:val="24"/>
              </w:rPr>
              <w:t>“挑战杯”科赛或创赛 国赛  金/银/铜</w:t>
            </w:r>
          </w:p>
        </w:tc>
        <w:tc>
          <w:tcPr>
            <w:tcW w:w="1800" w:type="dxa"/>
            <w:vAlign w:val="center"/>
          </w:tcPr>
          <w:p>
            <w:pPr>
              <w:pStyle w:val="11"/>
              <w:ind w:left="0" w:right="19"/>
              <w:jc w:val="both"/>
              <w:rPr>
                <w:sz w:val="24"/>
              </w:rPr>
            </w:pPr>
            <w:r>
              <w:rPr>
                <w:sz w:val="24"/>
              </w:rPr>
              <w:t>300/200/120</w:t>
            </w:r>
          </w:p>
        </w:tc>
        <w:tc>
          <w:tcPr>
            <w:tcW w:w="1800" w:type="dxa"/>
            <w:vMerge w:val="continue"/>
            <w:vAlign w:val="center"/>
          </w:tcPr>
          <w:p>
            <w:pPr>
              <w:pStyle w:val="11"/>
              <w:ind w:left="0" w:right="19"/>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jc w:val="center"/>
        </w:trPr>
        <w:tc>
          <w:tcPr>
            <w:tcW w:w="4861" w:type="dxa"/>
            <w:vAlign w:val="center"/>
          </w:tcPr>
          <w:p>
            <w:pPr>
              <w:pStyle w:val="11"/>
              <w:tabs>
                <w:tab w:val="left" w:pos="2568"/>
              </w:tabs>
              <w:ind w:left="0" w:right="19"/>
              <w:jc w:val="both"/>
              <w:rPr>
                <w:sz w:val="24"/>
              </w:rPr>
            </w:pPr>
            <w:r>
              <w:rPr>
                <w:sz w:val="24"/>
              </w:rPr>
              <w:t>“互联网+”大赛  国赛</w:t>
            </w:r>
            <w:r>
              <w:rPr>
                <w:sz w:val="24"/>
              </w:rPr>
              <w:tab/>
            </w:r>
            <w:r>
              <w:rPr>
                <w:sz w:val="24"/>
              </w:rPr>
              <w:t xml:space="preserve">        金/银/铜</w:t>
            </w:r>
          </w:p>
        </w:tc>
        <w:tc>
          <w:tcPr>
            <w:tcW w:w="1800" w:type="dxa"/>
            <w:vAlign w:val="center"/>
          </w:tcPr>
          <w:p>
            <w:pPr>
              <w:pStyle w:val="11"/>
              <w:ind w:left="0" w:right="19"/>
              <w:jc w:val="both"/>
              <w:rPr>
                <w:sz w:val="24"/>
              </w:rPr>
            </w:pPr>
            <w:r>
              <w:rPr>
                <w:sz w:val="24"/>
              </w:rPr>
              <w:t>300/200/120</w:t>
            </w:r>
          </w:p>
        </w:tc>
        <w:tc>
          <w:tcPr>
            <w:tcW w:w="1800" w:type="dxa"/>
            <w:vMerge w:val="continue"/>
            <w:vAlign w:val="center"/>
          </w:tcPr>
          <w:p>
            <w:pPr>
              <w:pStyle w:val="11"/>
              <w:ind w:left="0" w:right="19"/>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4" w:hRule="atLeast"/>
          <w:jc w:val="center"/>
        </w:trPr>
        <w:tc>
          <w:tcPr>
            <w:tcW w:w="4861" w:type="dxa"/>
            <w:vAlign w:val="center"/>
          </w:tcPr>
          <w:p>
            <w:pPr>
              <w:pStyle w:val="11"/>
              <w:spacing w:before="4"/>
              <w:ind w:left="0" w:right="19"/>
              <w:jc w:val="both"/>
              <w:rPr>
                <w:sz w:val="24"/>
              </w:rPr>
            </w:pPr>
            <w:r>
              <w:rPr>
                <w:sz w:val="24"/>
              </w:rPr>
              <w:t>ACM-ICPC</w:t>
            </w:r>
            <w:r>
              <w:rPr>
                <w:spacing w:val="-61"/>
                <w:sz w:val="24"/>
              </w:rPr>
              <w:t xml:space="preserve"> </w:t>
            </w:r>
            <w:r>
              <w:rPr>
                <w:sz w:val="24"/>
              </w:rPr>
              <w:t>亚洲区域赛</w:t>
            </w:r>
            <w:r>
              <w:rPr>
                <w:sz w:val="24"/>
              </w:rPr>
              <w:tab/>
            </w:r>
            <w:r>
              <w:rPr>
                <w:sz w:val="24"/>
              </w:rPr>
              <w:t xml:space="preserve">   金/银/铜</w:t>
            </w:r>
          </w:p>
        </w:tc>
        <w:tc>
          <w:tcPr>
            <w:tcW w:w="1800" w:type="dxa"/>
            <w:vAlign w:val="center"/>
          </w:tcPr>
          <w:p>
            <w:pPr>
              <w:pStyle w:val="11"/>
              <w:spacing w:before="4"/>
              <w:ind w:left="0" w:right="19"/>
              <w:jc w:val="both"/>
              <w:rPr>
                <w:sz w:val="24"/>
              </w:rPr>
            </w:pPr>
            <w:r>
              <w:rPr>
                <w:sz w:val="24"/>
              </w:rPr>
              <w:t>120/100/80</w:t>
            </w:r>
          </w:p>
        </w:tc>
        <w:tc>
          <w:tcPr>
            <w:tcW w:w="1800" w:type="dxa"/>
            <w:vMerge w:val="continue"/>
            <w:vAlign w:val="center"/>
          </w:tcPr>
          <w:p>
            <w:pPr>
              <w:pStyle w:val="11"/>
              <w:spacing w:before="4"/>
              <w:ind w:left="0" w:right="19"/>
              <w:jc w:val="both"/>
              <w:rPr>
                <w:sz w:val="24"/>
              </w:rPr>
            </w:pPr>
          </w:p>
        </w:tc>
      </w:tr>
    </w:tbl>
    <w:p>
      <w:pPr>
        <w:pStyle w:val="10"/>
        <w:tabs>
          <w:tab w:val="left" w:pos="819"/>
        </w:tabs>
        <w:spacing w:before="360" w:line="242" w:lineRule="auto"/>
        <w:ind w:left="0" w:right="17"/>
        <w:jc w:val="both"/>
        <w:rPr>
          <w:rFonts w:hint="eastAsia"/>
        </w:rPr>
      </w:pPr>
      <w:r>
        <w:rPr>
          <w:rFonts w:hint="eastAsia" w:ascii="华文仿宋" w:hAnsi="华文仿宋" w:eastAsia="华文仿宋" w:cs="华文仿宋"/>
          <w:b/>
          <w:bCs/>
          <w:sz w:val="28"/>
          <w:szCs w:val="28"/>
        </w:rPr>
        <w:t xml:space="preserve"> (2) </w:t>
      </w:r>
      <w:r>
        <w:rPr>
          <w:rFonts w:hint="eastAsia" w:ascii="华文仿宋" w:hAnsi="华文仿宋" w:eastAsia="华文仿宋" w:cs="华文仿宋"/>
          <w:sz w:val="28"/>
          <w:szCs w:val="28"/>
        </w:rPr>
        <w:t>科技竞赛类根据其影响和难易程度分别确定不同的难度系数（</w:t>
      </w:r>
      <w:r>
        <w:rPr>
          <w:rFonts w:hint="eastAsia" w:ascii="华文仿宋" w:hAnsi="华文仿宋" w:eastAsia="华文仿宋" w:cs="华文仿宋"/>
          <w:spacing w:val="-20"/>
          <w:sz w:val="28"/>
          <w:szCs w:val="28"/>
        </w:rPr>
        <w:t xml:space="preserve">大于 </w:t>
      </w:r>
      <w:r>
        <w:rPr>
          <w:rFonts w:hint="eastAsia" w:ascii="华文仿宋" w:hAnsi="华文仿宋" w:eastAsia="华文仿宋" w:cs="华文仿宋"/>
          <w:sz w:val="28"/>
          <w:szCs w:val="28"/>
        </w:rPr>
        <w:t>0）。学</w:t>
      </w:r>
      <w:r>
        <w:rPr>
          <w:rFonts w:hint="eastAsia" w:ascii="华文仿宋" w:hAnsi="华文仿宋" w:eastAsia="华文仿宋" w:cs="华文仿宋"/>
          <w:spacing w:val="-10"/>
          <w:sz w:val="28"/>
          <w:szCs w:val="28"/>
        </w:rPr>
        <w:t xml:space="preserve">术分 </w:t>
      </w:r>
      <w:r>
        <w:rPr>
          <w:rFonts w:hint="eastAsia" w:ascii="华文仿宋" w:hAnsi="华文仿宋" w:eastAsia="华文仿宋" w:cs="华文仿宋"/>
          <w:sz w:val="28"/>
          <w:szCs w:val="28"/>
        </w:rPr>
        <w:t>＝</w:t>
      </w:r>
      <w:r>
        <w:rPr>
          <w:rFonts w:hint="eastAsia" w:ascii="华文仿宋" w:hAnsi="华文仿宋" w:eastAsia="华文仿宋" w:cs="华文仿宋"/>
          <w:spacing w:val="1"/>
          <w:sz w:val="28"/>
          <w:szCs w:val="28"/>
        </w:rPr>
        <w:t xml:space="preserve"> </w:t>
      </w:r>
      <w:r>
        <w:rPr>
          <w:rFonts w:hint="eastAsia" w:ascii="华文仿宋" w:hAnsi="华文仿宋" w:eastAsia="华文仿宋" w:cs="华文仿宋"/>
          <w:spacing w:val="-1"/>
          <w:sz w:val="28"/>
          <w:szCs w:val="28"/>
        </w:rPr>
        <w:t>某一级别某一等</w:t>
      </w:r>
      <w:r>
        <w:rPr>
          <w:rFonts w:hint="default" w:ascii="华文仿宋" w:hAnsi="华文仿宋" w:eastAsia="华文仿宋" w:cs="华文仿宋"/>
          <w:spacing w:val="-1"/>
          <w:sz w:val="28"/>
          <w:szCs w:val="28"/>
        </w:rPr>
        <w:t>级</w:t>
      </w:r>
      <w:r>
        <w:rPr>
          <w:rFonts w:hint="eastAsia" w:ascii="华文仿宋" w:hAnsi="华文仿宋" w:eastAsia="华文仿宋" w:cs="华文仿宋"/>
          <w:spacing w:val="-1"/>
          <w:sz w:val="28"/>
          <w:szCs w:val="28"/>
        </w:rPr>
        <w:t>的竞赛学术分</w:t>
      </w:r>
      <w:r>
        <w:rPr>
          <w:rFonts w:hint="eastAsia" w:ascii="华文仿宋" w:hAnsi="华文仿宋" w:eastAsia="华文仿宋" w:cs="华文仿宋"/>
          <w:sz w:val="28"/>
          <w:szCs w:val="28"/>
        </w:rPr>
        <w:t>×</w:t>
      </w:r>
      <w:r>
        <w:rPr>
          <w:rFonts w:hint="eastAsia" w:ascii="华文仿宋" w:hAnsi="华文仿宋" w:eastAsia="华文仿宋" w:cs="华文仿宋"/>
          <w:spacing w:val="-17"/>
          <w:sz w:val="28"/>
          <w:szCs w:val="28"/>
        </w:rPr>
        <w:t xml:space="preserve">难度系数。表 </w:t>
      </w:r>
      <w:r>
        <w:rPr>
          <w:rFonts w:hint="eastAsia" w:ascii="华文仿宋" w:hAnsi="华文仿宋" w:eastAsia="华文仿宋" w:cs="华文仿宋"/>
          <w:sz w:val="28"/>
          <w:szCs w:val="28"/>
        </w:rPr>
        <w:t>3</w:t>
      </w:r>
      <w:r>
        <w:rPr>
          <w:rFonts w:hint="eastAsia" w:ascii="华文仿宋" w:hAnsi="华文仿宋" w:eastAsia="华文仿宋" w:cs="华文仿宋"/>
          <w:spacing w:val="-12"/>
          <w:sz w:val="28"/>
          <w:szCs w:val="28"/>
        </w:rPr>
        <w:t xml:space="preserve"> 所列为各个科技</w:t>
      </w:r>
      <w:r>
        <w:rPr>
          <w:rFonts w:hint="eastAsia" w:ascii="华文仿宋" w:hAnsi="华文仿宋" w:eastAsia="华文仿宋" w:cs="华文仿宋"/>
          <w:sz w:val="28"/>
          <w:szCs w:val="28"/>
        </w:rPr>
        <w:t>竞赛和科研项目的级别和难度系数。教务处部分赛事的认定级别</w:t>
      </w:r>
      <w:r>
        <w:rPr>
          <w:rFonts w:hint="default" w:ascii="华文仿宋" w:hAnsi="华文仿宋" w:eastAsia="华文仿宋" w:cs="华文仿宋"/>
          <w:sz w:val="28"/>
          <w:szCs w:val="28"/>
        </w:rPr>
        <w:t>请参考附件四</w:t>
      </w:r>
      <w:r>
        <w:rPr>
          <w:rFonts w:hint="default" w:ascii="华文仿宋" w:hAnsi="华文仿宋" w:eastAsia="华文仿宋" w:cs="华文仿宋"/>
          <w:sz w:val="28"/>
          <w:szCs w:val="28"/>
        </w:rPr>
        <w:t>、附件五</w:t>
      </w:r>
      <w:bookmarkStart w:id="0" w:name="_GoBack"/>
      <w:bookmarkEnd w:id="0"/>
      <w:r>
        <w:rPr>
          <w:rFonts w:hint="eastAsia" w:ascii="华文仿宋" w:hAnsi="华文仿宋" w:eastAsia="华文仿宋" w:cs="华文仿宋"/>
          <w:sz w:val="28"/>
          <w:szCs w:val="28"/>
        </w:rPr>
        <w:t>，以最新公布结果为准。未列出比赛或项目的难度系数默认为0.5，特殊情况下由评审小组进行认定。</w:t>
      </w:r>
    </w:p>
    <w:p>
      <w:pPr>
        <w:pStyle w:val="4"/>
        <w:ind w:right="19"/>
        <w:jc w:val="both"/>
      </w:pPr>
    </w:p>
    <w:p>
      <w:pPr>
        <w:pStyle w:val="4"/>
        <w:ind w:right="19"/>
        <w:jc w:val="center"/>
        <w:rPr>
          <w:sz w:val="21"/>
          <w:szCs w:val="21"/>
        </w:rPr>
      </w:pPr>
    </w:p>
    <w:p>
      <w:pPr>
        <w:pStyle w:val="4"/>
        <w:ind w:right="19"/>
        <w:jc w:val="center"/>
        <w:rPr>
          <w:sz w:val="21"/>
          <w:szCs w:val="21"/>
        </w:rPr>
      </w:pPr>
    </w:p>
    <w:p>
      <w:pPr>
        <w:pStyle w:val="4"/>
        <w:ind w:right="19"/>
        <w:jc w:val="center"/>
      </w:pPr>
      <w:r>
        <w:rPr>
          <w:sz w:val="21"/>
          <w:szCs w:val="21"/>
        </w:rPr>
        <w:t>表 3  一般科技竞赛和科研项目级别与难度系数</w:t>
      </w:r>
    </w:p>
    <w:tbl>
      <w:tblPr>
        <w:tblStyle w:val="8"/>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61"/>
        <w:gridCol w:w="1852"/>
        <w:gridCol w:w="15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8" w:hRule="atLeast"/>
        </w:trPr>
        <w:tc>
          <w:tcPr>
            <w:tcW w:w="5061" w:type="dxa"/>
            <w:vAlign w:val="center"/>
          </w:tcPr>
          <w:p>
            <w:pPr>
              <w:pStyle w:val="11"/>
              <w:ind w:left="0" w:leftChars="0" w:right="19" w:firstLine="0" w:firstLineChars="0"/>
              <w:jc w:val="center"/>
              <w:rPr>
                <w:rFonts w:ascii="宋体" w:hAnsi="宋体" w:eastAsia="宋体" w:cs="宋体"/>
                <w:b/>
                <w:bCs/>
                <w:sz w:val="24"/>
              </w:rPr>
            </w:pPr>
            <w:r>
              <w:rPr>
                <w:rFonts w:ascii="宋体" w:hAnsi="宋体" w:eastAsia="宋体" w:cs="宋体"/>
                <w:b/>
                <w:bCs/>
                <w:sz w:val="24"/>
              </w:rPr>
              <w:t>竞赛名称</w:t>
            </w:r>
            <w:r>
              <w:rPr>
                <w:rFonts w:hint="eastAsia" w:ascii="宋体" w:hAnsi="宋体" w:eastAsia="宋体" w:cs="宋体"/>
                <w:b/>
                <w:bCs/>
                <w:sz w:val="24"/>
              </w:rPr>
              <w:t>或类别</w:t>
            </w:r>
          </w:p>
        </w:tc>
        <w:tc>
          <w:tcPr>
            <w:tcW w:w="1852" w:type="dxa"/>
            <w:vAlign w:val="center"/>
          </w:tcPr>
          <w:p>
            <w:pPr>
              <w:pStyle w:val="11"/>
              <w:ind w:left="0" w:leftChars="0" w:right="19" w:firstLine="0" w:firstLineChars="0"/>
              <w:jc w:val="center"/>
              <w:rPr>
                <w:rFonts w:ascii="宋体" w:hAnsi="宋体" w:eastAsia="宋体" w:cs="宋体"/>
                <w:b/>
                <w:bCs/>
                <w:sz w:val="24"/>
              </w:rPr>
            </w:pPr>
            <w:r>
              <w:rPr>
                <w:rFonts w:ascii="宋体" w:hAnsi="宋体" w:eastAsia="宋体" w:cs="宋体"/>
                <w:b/>
                <w:bCs/>
                <w:sz w:val="24"/>
              </w:rPr>
              <w:t>等级</w:t>
            </w:r>
          </w:p>
        </w:tc>
        <w:tc>
          <w:tcPr>
            <w:tcW w:w="1561" w:type="dxa"/>
            <w:vAlign w:val="center"/>
          </w:tcPr>
          <w:p>
            <w:pPr>
              <w:pStyle w:val="11"/>
              <w:ind w:left="0" w:leftChars="0" w:right="19" w:firstLine="0" w:firstLineChars="0"/>
              <w:jc w:val="center"/>
              <w:rPr>
                <w:rFonts w:ascii="宋体" w:hAnsi="宋体" w:eastAsia="宋体" w:cs="宋体"/>
                <w:b/>
                <w:bCs/>
                <w:sz w:val="24"/>
              </w:rPr>
            </w:pPr>
            <w:r>
              <w:rPr>
                <w:rFonts w:ascii="宋体" w:hAnsi="宋体" w:eastAsia="宋体" w:cs="宋体"/>
                <w:b/>
                <w:bCs/>
                <w:sz w:val="24"/>
              </w:rPr>
              <w:t>难度系数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5061" w:type="dxa"/>
          </w:tcPr>
          <w:p>
            <w:pPr>
              <w:pStyle w:val="11"/>
              <w:ind w:left="0" w:right="19"/>
              <w:jc w:val="left"/>
              <w:rPr>
                <w:sz w:val="24"/>
              </w:rPr>
            </w:pPr>
            <w:r>
              <w:rPr>
                <w:sz w:val="24"/>
              </w:rPr>
              <w:t>中国“互联网+”大学生创新创业大赛（市赛）</w:t>
            </w:r>
          </w:p>
        </w:tc>
        <w:tc>
          <w:tcPr>
            <w:tcW w:w="1852" w:type="dxa"/>
          </w:tcPr>
          <w:p>
            <w:pPr>
              <w:pStyle w:val="11"/>
              <w:ind w:left="0" w:leftChars="0" w:right="19" w:firstLine="0" w:firstLineChars="0"/>
              <w:jc w:val="center"/>
              <w:rPr>
                <w:sz w:val="24"/>
              </w:rPr>
            </w:pPr>
            <w:r>
              <w:rPr>
                <w:sz w:val="24"/>
              </w:rPr>
              <w:t>1</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sz w:val="24"/>
              </w:rPr>
            </w:pPr>
            <w:r>
              <w:rPr>
                <w:sz w:val="24"/>
              </w:rPr>
              <w:t>“挑战杯”科赛或创赛 （市赛）</w:t>
            </w:r>
          </w:p>
        </w:tc>
        <w:tc>
          <w:tcPr>
            <w:tcW w:w="1852" w:type="dxa"/>
          </w:tcPr>
          <w:p>
            <w:pPr>
              <w:pStyle w:val="11"/>
              <w:ind w:left="0" w:right="19"/>
              <w:jc w:val="center"/>
              <w:rPr>
                <w:sz w:val="24"/>
              </w:rPr>
            </w:pPr>
            <w:r>
              <w:rPr>
                <w:sz w:val="24"/>
              </w:rPr>
              <w:t>1</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rFonts w:hint="eastAsia"/>
                <w:sz w:val="24"/>
              </w:rPr>
            </w:pPr>
            <w:r>
              <w:rPr>
                <w:rFonts w:hint="eastAsia"/>
                <w:sz w:val="24"/>
              </w:rPr>
              <w:t>教务处认定的A类信息学科竞赛</w:t>
            </w:r>
          </w:p>
        </w:tc>
        <w:tc>
          <w:tcPr>
            <w:tcW w:w="1852" w:type="dxa"/>
          </w:tcPr>
          <w:p>
            <w:pPr>
              <w:pStyle w:val="11"/>
              <w:ind w:left="0" w:right="19"/>
              <w:jc w:val="center"/>
              <w:rPr>
                <w:sz w:val="24"/>
              </w:rPr>
            </w:pPr>
            <w:r>
              <w:rPr>
                <w:sz w:val="24"/>
              </w:rPr>
              <w:t>1</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4" w:hRule="atLeast"/>
        </w:trPr>
        <w:tc>
          <w:tcPr>
            <w:tcW w:w="5061" w:type="dxa"/>
          </w:tcPr>
          <w:p>
            <w:pPr>
              <w:pStyle w:val="11"/>
              <w:spacing w:before="4"/>
              <w:ind w:left="0" w:right="19"/>
              <w:jc w:val="left"/>
              <w:rPr>
                <w:rFonts w:hint="eastAsia"/>
                <w:sz w:val="24"/>
              </w:rPr>
            </w:pPr>
            <w:r>
              <w:rPr>
                <w:rFonts w:hint="eastAsia"/>
                <w:sz w:val="24"/>
              </w:rPr>
              <w:t>教务处认定的</w:t>
            </w:r>
            <w:r>
              <w:rPr>
                <w:rFonts w:hint="default"/>
                <w:sz w:val="24"/>
              </w:rPr>
              <w:t>国家级</w:t>
            </w:r>
            <w:r>
              <w:rPr>
                <w:rFonts w:hint="eastAsia"/>
                <w:sz w:val="24"/>
              </w:rPr>
              <w:t>B类信息学科竞赛</w:t>
            </w:r>
          </w:p>
        </w:tc>
        <w:tc>
          <w:tcPr>
            <w:tcW w:w="1852" w:type="dxa"/>
          </w:tcPr>
          <w:p>
            <w:pPr>
              <w:pStyle w:val="11"/>
              <w:spacing w:before="4"/>
              <w:ind w:left="0" w:right="19"/>
              <w:jc w:val="center"/>
              <w:rPr>
                <w:sz w:val="24"/>
              </w:rPr>
            </w:pPr>
            <w:r>
              <w:rPr>
                <w:sz w:val="24"/>
              </w:rPr>
              <w:t>1</w:t>
            </w:r>
          </w:p>
        </w:tc>
        <w:tc>
          <w:tcPr>
            <w:tcW w:w="1561" w:type="dxa"/>
          </w:tcPr>
          <w:p>
            <w:pPr>
              <w:pStyle w:val="11"/>
              <w:spacing w:before="4"/>
              <w:ind w:left="0" w:right="19"/>
              <w:jc w:val="center"/>
              <w:rPr>
                <w:sz w:val="24"/>
              </w:rPr>
            </w:pPr>
            <w:r>
              <w:rPr>
                <w:sz w:val="24"/>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rFonts w:hint="eastAsia"/>
                <w:sz w:val="24"/>
              </w:rPr>
            </w:pPr>
            <w:r>
              <w:rPr>
                <w:rFonts w:hint="eastAsia"/>
                <w:sz w:val="24"/>
              </w:rPr>
              <w:t>教务处认定的</w:t>
            </w:r>
            <w:r>
              <w:rPr>
                <w:rFonts w:hint="default"/>
                <w:sz w:val="24"/>
              </w:rPr>
              <w:t>省部级B</w:t>
            </w:r>
            <w:r>
              <w:rPr>
                <w:rFonts w:hint="eastAsia"/>
                <w:sz w:val="24"/>
              </w:rPr>
              <w:t>类信息学科竞赛（包括</w:t>
            </w:r>
            <w:r>
              <w:rPr>
                <w:rFonts w:hint="default"/>
                <w:sz w:val="24"/>
              </w:rPr>
              <w:t>国家级竞赛的</w:t>
            </w:r>
            <w:r>
              <w:rPr>
                <w:rFonts w:hint="eastAsia"/>
                <w:sz w:val="24"/>
              </w:rPr>
              <w:t>省赛）</w:t>
            </w:r>
          </w:p>
        </w:tc>
        <w:tc>
          <w:tcPr>
            <w:tcW w:w="1852" w:type="dxa"/>
          </w:tcPr>
          <w:p>
            <w:pPr>
              <w:pStyle w:val="11"/>
              <w:ind w:left="0" w:right="19"/>
              <w:jc w:val="center"/>
              <w:rPr>
                <w:sz w:val="24"/>
              </w:rPr>
            </w:pPr>
            <w:r>
              <w:rPr>
                <w:sz w:val="24"/>
              </w:rPr>
              <w:t>2</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vAlign w:val="top"/>
          </w:tcPr>
          <w:p>
            <w:pPr>
              <w:pStyle w:val="11"/>
              <w:ind w:left="0" w:leftChars="0" w:right="19" w:rightChars="0"/>
              <w:jc w:val="left"/>
              <w:rPr>
                <w:sz w:val="24"/>
              </w:rPr>
            </w:pPr>
            <w:r>
              <w:rPr>
                <w:sz w:val="24"/>
              </w:rPr>
              <w:t>企业主办各类全国比赛（需经学院认定）</w:t>
            </w:r>
          </w:p>
        </w:tc>
        <w:tc>
          <w:tcPr>
            <w:tcW w:w="1852" w:type="dxa"/>
            <w:vAlign w:val="top"/>
          </w:tcPr>
          <w:p>
            <w:pPr>
              <w:pStyle w:val="11"/>
              <w:ind w:left="0" w:leftChars="0" w:right="19" w:rightChars="0"/>
              <w:jc w:val="center"/>
              <w:rPr>
                <w:sz w:val="24"/>
              </w:rPr>
            </w:pPr>
            <w:r>
              <w:rPr>
                <w:sz w:val="24"/>
              </w:rPr>
              <w:t>2</w:t>
            </w:r>
          </w:p>
        </w:tc>
        <w:tc>
          <w:tcPr>
            <w:tcW w:w="1561" w:type="dxa"/>
            <w:vAlign w:val="top"/>
          </w:tcPr>
          <w:p>
            <w:pPr>
              <w:pStyle w:val="11"/>
              <w:ind w:left="0" w:leftChars="0" w:right="19" w:rightChars="0"/>
              <w:jc w:val="center"/>
              <w:rPr>
                <w:sz w:val="24"/>
              </w:rPr>
            </w:pPr>
            <w:r>
              <w:rPr>
                <w:sz w:val="24"/>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vAlign w:val="top"/>
          </w:tcPr>
          <w:p>
            <w:pPr>
              <w:pStyle w:val="11"/>
              <w:spacing w:before="3"/>
              <w:ind w:left="0" w:leftChars="0" w:right="19" w:rightChars="0"/>
              <w:jc w:val="left"/>
              <w:rPr>
                <w:sz w:val="24"/>
              </w:rPr>
            </w:pPr>
            <w:r>
              <w:rPr>
                <w:sz w:val="24"/>
              </w:rPr>
              <w:t>上海市金马五校程序设计竞赛</w:t>
            </w:r>
          </w:p>
        </w:tc>
        <w:tc>
          <w:tcPr>
            <w:tcW w:w="1852" w:type="dxa"/>
            <w:vAlign w:val="top"/>
          </w:tcPr>
          <w:p>
            <w:pPr>
              <w:pStyle w:val="11"/>
              <w:spacing w:before="3"/>
              <w:ind w:left="0" w:leftChars="0" w:right="19" w:rightChars="0"/>
              <w:jc w:val="center"/>
              <w:rPr>
                <w:sz w:val="24"/>
              </w:rPr>
            </w:pPr>
            <w:r>
              <w:rPr>
                <w:sz w:val="24"/>
              </w:rPr>
              <w:t>2</w:t>
            </w:r>
          </w:p>
        </w:tc>
        <w:tc>
          <w:tcPr>
            <w:tcW w:w="1561" w:type="dxa"/>
            <w:vAlign w:val="top"/>
          </w:tcPr>
          <w:p>
            <w:pPr>
              <w:pStyle w:val="11"/>
              <w:spacing w:before="3"/>
              <w:ind w:left="0" w:leftChars="0" w:right="19" w:rightChars="0"/>
              <w:jc w:val="center"/>
              <w:rPr>
                <w:sz w:val="24"/>
              </w:rPr>
            </w:pPr>
            <w:r>
              <w:rPr>
                <w:sz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sz w:val="24"/>
              </w:rPr>
            </w:pPr>
            <w:r>
              <w:rPr>
                <w:sz w:val="24"/>
              </w:rPr>
              <w:t>“大夏杯”科赛或创赛</w:t>
            </w:r>
          </w:p>
        </w:tc>
        <w:tc>
          <w:tcPr>
            <w:tcW w:w="1852" w:type="dxa"/>
          </w:tcPr>
          <w:p>
            <w:pPr>
              <w:pStyle w:val="11"/>
              <w:ind w:left="0" w:right="19"/>
              <w:jc w:val="center"/>
              <w:rPr>
                <w:sz w:val="24"/>
              </w:rPr>
            </w:pPr>
            <w:r>
              <w:rPr>
                <w:sz w:val="24"/>
              </w:rPr>
              <w:t>3</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4" w:hRule="atLeast"/>
        </w:trPr>
        <w:tc>
          <w:tcPr>
            <w:tcW w:w="5061" w:type="dxa"/>
          </w:tcPr>
          <w:p>
            <w:pPr>
              <w:pStyle w:val="11"/>
              <w:spacing w:before="4"/>
              <w:ind w:left="0" w:right="19"/>
              <w:jc w:val="left"/>
              <w:rPr>
                <w:sz w:val="24"/>
              </w:rPr>
            </w:pPr>
            <w:r>
              <w:rPr>
                <w:sz w:val="24"/>
              </w:rPr>
              <w:t>大学生科研基金结题（国创/上创/大夏）</w:t>
            </w:r>
          </w:p>
        </w:tc>
        <w:tc>
          <w:tcPr>
            <w:tcW w:w="1852" w:type="dxa"/>
          </w:tcPr>
          <w:p>
            <w:pPr>
              <w:pStyle w:val="11"/>
              <w:spacing w:before="4"/>
              <w:ind w:left="0" w:right="19"/>
              <w:jc w:val="center"/>
              <w:rPr>
                <w:sz w:val="24"/>
              </w:rPr>
            </w:pPr>
            <w:r>
              <w:rPr>
                <w:sz w:val="24"/>
              </w:rPr>
              <w:t>3</w:t>
            </w:r>
          </w:p>
        </w:tc>
        <w:tc>
          <w:tcPr>
            <w:tcW w:w="1561" w:type="dxa"/>
          </w:tcPr>
          <w:p>
            <w:pPr>
              <w:pStyle w:val="11"/>
              <w:spacing w:before="4"/>
              <w:ind w:left="0" w:right="19"/>
              <w:jc w:val="center"/>
              <w:rPr>
                <w:sz w:val="24"/>
              </w:rPr>
            </w:pPr>
            <w:r>
              <w:rPr>
                <w:sz w:val="24"/>
              </w:rPr>
              <w:t>0.6/0.5/0.4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sz w:val="24"/>
              </w:rPr>
            </w:pPr>
            <w:r>
              <w:rPr>
                <w:sz w:val="24"/>
              </w:rPr>
              <w:t>学院创新创业大赛</w:t>
            </w:r>
          </w:p>
        </w:tc>
        <w:tc>
          <w:tcPr>
            <w:tcW w:w="1852" w:type="dxa"/>
          </w:tcPr>
          <w:p>
            <w:pPr>
              <w:pStyle w:val="11"/>
              <w:ind w:left="0" w:right="19"/>
              <w:jc w:val="center"/>
              <w:rPr>
                <w:sz w:val="24"/>
              </w:rPr>
            </w:pPr>
            <w:r>
              <w:rPr>
                <w:sz w:val="24"/>
              </w:rPr>
              <w:t>4</w:t>
            </w:r>
          </w:p>
        </w:tc>
        <w:tc>
          <w:tcPr>
            <w:tcW w:w="1561" w:type="dxa"/>
          </w:tcPr>
          <w:p>
            <w:pPr>
              <w:pStyle w:val="11"/>
              <w:ind w:left="0" w:right="19"/>
              <w:jc w:val="center"/>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061" w:type="dxa"/>
          </w:tcPr>
          <w:p>
            <w:pPr>
              <w:pStyle w:val="11"/>
              <w:ind w:left="0" w:right="19"/>
              <w:jc w:val="left"/>
              <w:rPr>
                <w:sz w:val="24"/>
              </w:rPr>
            </w:pPr>
            <w:r>
              <w:rPr>
                <w:sz w:val="24"/>
              </w:rPr>
              <w:t>数学类竞赛</w:t>
            </w:r>
          </w:p>
        </w:tc>
        <w:tc>
          <w:tcPr>
            <w:tcW w:w="1852" w:type="dxa"/>
          </w:tcPr>
          <w:p>
            <w:pPr>
              <w:pStyle w:val="11"/>
              <w:ind w:left="0" w:right="19"/>
              <w:jc w:val="center"/>
              <w:rPr>
                <w:sz w:val="24"/>
              </w:rPr>
            </w:pPr>
            <w:r>
              <w:rPr>
                <w:sz w:val="24"/>
              </w:rPr>
              <w:t>各等级</w:t>
            </w:r>
          </w:p>
        </w:tc>
        <w:tc>
          <w:tcPr>
            <w:tcW w:w="1561" w:type="dxa"/>
          </w:tcPr>
          <w:p>
            <w:pPr>
              <w:pStyle w:val="11"/>
              <w:ind w:left="0" w:right="19"/>
              <w:jc w:val="center"/>
              <w:rPr>
                <w:sz w:val="24"/>
              </w:rPr>
            </w:pPr>
            <w:r>
              <w:rPr>
                <w:sz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4" w:hRule="atLeast"/>
        </w:trPr>
        <w:tc>
          <w:tcPr>
            <w:tcW w:w="5061" w:type="dxa"/>
          </w:tcPr>
          <w:p>
            <w:pPr>
              <w:pStyle w:val="11"/>
              <w:spacing w:line="292" w:lineRule="exact"/>
              <w:ind w:left="0" w:right="19"/>
              <w:jc w:val="left"/>
              <w:rPr>
                <w:sz w:val="24"/>
              </w:rPr>
            </w:pPr>
            <w:r>
              <w:rPr>
                <w:sz w:val="24"/>
              </w:rPr>
              <w:t>外语类竞赛</w:t>
            </w:r>
          </w:p>
        </w:tc>
        <w:tc>
          <w:tcPr>
            <w:tcW w:w="1852" w:type="dxa"/>
          </w:tcPr>
          <w:p>
            <w:pPr>
              <w:pStyle w:val="11"/>
              <w:spacing w:line="292" w:lineRule="exact"/>
              <w:ind w:left="0" w:right="19"/>
              <w:jc w:val="center"/>
              <w:rPr>
                <w:sz w:val="24"/>
              </w:rPr>
            </w:pPr>
            <w:r>
              <w:rPr>
                <w:sz w:val="24"/>
              </w:rPr>
              <w:t>各等级</w:t>
            </w:r>
          </w:p>
        </w:tc>
        <w:tc>
          <w:tcPr>
            <w:tcW w:w="1561" w:type="dxa"/>
          </w:tcPr>
          <w:p>
            <w:pPr>
              <w:pStyle w:val="11"/>
              <w:spacing w:line="292" w:lineRule="exact"/>
              <w:ind w:left="0" w:right="19"/>
              <w:jc w:val="center"/>
              <w:rPr>
                <w:sz w:val="24"/>
              </w:rPr>
            </w:pPr>
            <w:r>
              <w:rPr>
                <w:sz w:val="24"/>
              </w:rPr>
              <w:t>0.4</w:t>
            </w:r>
          </w:p>
        </w:tc>
      </w:tr>
    </w:tbl>
    <w:p>
      <w:pPr>
        <w:pStyle w:val="10"/>
        <w:tabs>
          <w:tab w:val="left" w:pos="819"/>
        </w:tabs>
        <w:spacing w:before="66" w:line="242" w:lineRule="auto"/>
        <w:ind w:left="0" w:right="19"/>
        <w:jc w:val="both"/>
        <w:rPr>
          <w:rFonts w:ascii="华文仿宋" w:hAnsi="华文仿宋" w:eastAsia="华文仿宋" w:cs="华文仿宋"/>
          <w:b/>
          <w:bCs/>
          <w:spacing w:val="-5"/>
          <w:sz w:val="28"/>
          <w:szCs w:val="28"/>
        </w:rPr>
      </w:pPr>
    </w:p>
    <w:p>
      <w:pPr>
        <w:pStyle w:val="10"/>
        <w:tabs>
          <w:tab w:val="left" w:pos="819"/>
        </w:tabs>
        <w:spacing w:before="66"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5"/>
          <w:sz w:val="28"/>
          <w:szCs w:val="28"/>
        </w:rPr>
        <w:t xml:space="preserve">(3) </w:t>
      </w:r>
      <w:r>
        <w:rPr>
          <w:rFonts w:hint="eastAsia" w:ascii="华文仿宋" w:hAnsi="华文仿宋" w:eastAsia="华文仿宋" w:cs="华文仿宋"/>
          <w:spacing w:val="-5"/>
          <w:sz w:val="28"/>
          <w:szCs w:val="28"/>
        </w:rPr>
        <w:t>除最高等级以外，获得其他等级的学术分依次递减，规定如下：以最高奖为</w:t>
      </w:r>
      <w:r>
        <w:rPr>
          <w:rFonts w:hint="eastAsia" w:ascii="华文仿宋" w:hAnsi="华文仿宋" w:eastAsia="华文仿宋" w:cs="华文仿宋"/>
          <w:spacing w:val="-9"/>
          <w:sz w:val="28"/>
          <w:szCs w:val="28"/>
        </w:rPr>
        <w:t xml:space="preserve">基本分，每降低一等名次，学术分为前一名次的 </w:t>
      </w:r>
      <w:r>
        <w:rPr>
          <w:rFonts w:hint="eastAsia" w:ascii="华文仿宋" w:hAnsi="华文仿宋" w:eastAsia="华文仿宋" w:cs="华文仿宋"/>
          <w:sz w:val="28"/>
          <w:szCs w:val="28"/>
        </w:rPr>
        <w:t>80%</w:t>
      </w:r>
      <w:r>
        <w:rPr>
          <w:rFonts w:hint="eastAsia" w:ascii="华文仿宋" w:hAnsi="华文仿宋" w:eastAsia="华文仿宋" w:cs="华文仿宋"/>
          <w:spacing w:val="-10"/>
          <w:sz w:val="28"/>
          <w:szCs w:val="28"/>
        </w:rPr>
        <w:t>。优胜奖、鼓励奖、参与奖一</w:t>
      </w:r>
      <w:r>
        <w:rPr>
          <w:rFonts w:hint="eastAsia" w:ascii="华文仿宋" w:hAnsi="华文仿宋" w:eastAsia="华文仿宋" w:cs="华文仿宋"/>
          <w:sz w:val="28"/>
          <w:szCs w:val="28"/>
        </w:rPr>
        <w:t>般不予加分。</w:t>
      </w:r>
    </w:p>
    <w:p>
      <w:pPr>
        <w:pStyle w:val="10"/>
        <w:tabs>
          <w:tab w:val="left" w:pos="819"/>
        </w:tabs>
        <w:spacing w:line="244"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3"/>
          <w:sz w:val="28"/>
          <w:szCs w:val="28"/>
        </w:rPr>
        <w:t xml:space="preserve">(4) </w:t>
      </w:r>
      <w:r>
        <w:rPr>
          <w:rFonts w:hint="eastAsia" w:ascii="华文仿宋" w:hAnsi="华文仿宋" w:eastAsia="华文仿宋" w:cs="华文仿宋"/>
          <w:spacing w:val="-3"/>
          <w:sz w:val="28"/>
          <w:szCs w:val="28"/>
        </w:rPr>
        <w:t>以小组形式参加的竞赛，团队队长或第一作者的加分分值在团队成员加分分</w:t>
      </w:r>
      <w:r>
        <w:rPr>
          <w:rFonts w:hint="eastAsia" w:ascii="华文仿宋" w:hAnsi="华文仿宋" w:eastAsia="华文仿宋" w:cs="华文仿宋"/>
          <w:spacing w:val="-8"/>
          <w:sz w:val="28"/>
          <w:szCs w:val="28"/>
        </w:rPr>
        <w:t xml:space="preserve">值的基础上增加 </w:t>
      </w:r>
      <w:r>
        <w:rPr>
          <w:rFonts w:hint="eastAsia" w:ascii="华文仿宋" w:hAnsi="华文仿宋" w:eastAsia="华文仿宋" w:cs="华文仿宋"/>
          <w:sz w:val="28"/>
          <w:szCs w:val="28"/>
        </w:rPr>
        <w:t>20%</w:t>
      </w:r>
      <w:r>
        <w:rPr>
          <w:rFonts w:hint="eastAsia" w:ascii="华文仿宋" w:hAnsi="华文仿宋" w:eastAsia="华文仿宋" w:cs="华文仿宋"/>
          <w:spacing w:val="-11"/>
          <w:sz w:val="28"/>
          <w:szCs w:val="28"/>
        </w:rPr>
        <w:t>。其他正式参赛队员不论排名，学术分均相同，替补参赛队员</w:t>
      </w:r>
      <w:r>
        <w:rPr>
          <w:rFonts w:hint="eastAsia" w:ascii="华文仿宋" w:hAnsi="华文仿宋" w:eastAsia="华文仿宋" w:cs="华文仿宋"/>
          <w:spacing w:val="-6"/>
          <w:sz w:val="28"/>
          <w:szCs w:val="28"/>
        </w:rPr>
        <w:t xml:space="preserve">的学术分为正式队员的 </w:t>
      </w:r>
      <w:r>
        <w:rPr>
          <w:rFonts w:hint="eastAsia" w:ascii="华文仿宋" w:hAnsi="华文仿宋" w:eastAsia="华文仿宋" w:cs="华文仿宋"/>
          <w:sz w:val="28"/>
          <w:szCs w:val="28"/>
        </w:rPr>
        <w:t>20%</w:t>
      </w:r>
      <w:r>
        <w:rPr>
          <w:rFonts w:hint="eastAsia" w:ascii="华文仿宋" w:hAnsi="华文仿宋" w:eastAsia="华文仿宋" w:cs="华文仿宋"/>
          <w:spacing w:val="-12"/>
          <w:sz w:val="28"/>
          <w:szCs w:val="28"/>
        </w:rPr>
        <w:t>。特殊情况下，可由教练或队长提出对个别队员进行减</w:t>
      </w:r>
      <w:r>
        <w:rPr>
          <w:rFonts w:hint="eastAsia" w:ascii="华文仿宋" w:hAnsi="华文仿宋" w:eastAsia="华文仿宋" w:cs="华文仿宋"/>
          <w:sz w:val="28"/>
          <w:szCs w:val="28"/>
        </w:rPr>
        <w:t>分或加分申请。</w:t>
      </w:r>
    </w:p>
    <w:p>
      <w:pPr>
        <w:pStyle w:val="10"/>
        <w:tabs>
          <w:tab w:val="left" w:pos="819"/>
        </w:tabs>
        <w:spacing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3"/>
          <w:sz w:val="28"/>
          <w:szCs w:val="28"/>
        </w:rPr>
        <w:t xml:space="preserve">(5) </w:t>
      </w:r>
      <w:r>
        <w:rPr>
          <w:rFonts w:hint="eastAsia" w:ascii="华文仿宋" w:hAnsi="华文仿宋" w:eastAsia="华文仿宋" w:cs="华文仿宋"/>
          <w:spacing w:val="-3"/>
          <w:sz w:val="28"/>
          <w:szCs w:val="28"/>
        </w:rPr>
        <w:t>若同一小组(或个人)在同一学年同一类型的竞赛中多次获奖，学术分不累计</w:t>
      </w:r>
      <w:r>
        <w:rPr>
          <w:rFonts w:hint="eastAsia" w:ascii="华文仿宋" w:hAnsi="华文仿宋" w:eastAsia="华文仿宋" w:cs="华文仿宋"/>
          <w:spacing w:val="-4"/>
          <w:sz w:val="28"/>
          <w:szCs w:val="28"/>
        </w:rPr>
        <w:t>，取最高学术分。</w:t>
      </w:r>
    </w:p>
    <w:p>
      <w:pPr>
        <w:pStyle w:val="10"/>
        <w:tabs>
          <w:tab w:val="left" w:pos="819"/>
        </w:tabs>
        <w:ind w:left="0" w:right="19"/>
        <w:jc w:val="both"/>
        <w:rPr>
          <w:rFonts w:ascii="华文仿宋" w:hAnsi="华文仿宋" w:eastAsia="华文仿宋" w:cs="华文仿宋"/>
          <w:sz w:val="28"/>
          <w:szCs w:val="28"/>
        </w:rPr>
      </w:pPr>
      <w:r>
        <w:rPr>
          <w:rFonts w:hint="eastAsia" w:ascii="华文仿宋" w:hAnsi="华文仿宋" w:eastAsia="华文仿宋" w:cs="华文仿宋"/>
          <w:b/>
          <w:bCs/>
          <w:sz w:val="28"/>
          <w:szCs w:val="28"/>
        </w:rPr>
        <w:t xml:space="preserve">(6) </w:t>
      </w:r>
      <w:r>
        <w:rPr>
          <w:rFonts w:hint="eastAsia" w:ascii="华文仿宋" w:hAnsi="华文仿宋" w:eastAsia="华文仿宋" w:cs="华文仿宋"/>
          <w:sz w:val="28"/>
          <w:szCs w:val="28"/>
        </w:rPr>
        <w:t>若同一作品在同一类型的比赛中多次获奖，学术分不累计，取最高学术分。</w:t>
      </w:r>
    </w:p>
    <w:p>
      <w:pPr>
        <w:pStyle w:val="10"/>
        <w:tabs>
          <w:tab w:val="left" w:pos="819"/>
        </w:tabs>
        <w:spacing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3"/>
          <w:sz w:val="28"/>
          <w:szCs w:val="28"/>
        </w:rPr>
        <w:t xml:space="preserve">(7) </w:t>
      </w:r>
      <w:r>
        <w:rPr>
          <w:rFonts w:hint="eastAsia" w:ascii="华文仿宋" w:hAnsi="华文仿宋" w:eastAsia="华文仿宋" w:cs="华文仿宋"/>
          <w:spacing w:val="-3"/>
          <w:sz w:val="28"/>
          <w:szCs w:val="28"/>
        </w:rPr>
        <w:t>大学生科研项目的分数，由项目负责人按照团队成员实际贡献对分数进行划</w:t>
      </w:r>
      <w:r>
        <w:rPr>
          <w:rFonts w:hint="eastAsia" w:ascii="华文仿宋" w:hAnsi="华文仿宋" w:eastAsia="华文仿宋" w:cs="华文仿宋"/>
          <w:sz w:val="28"/>
          <w:szCs w:val="28"/>
        </w:rPr>
        <w:t>分。</w:t>
      </w:r>
    </w:p>
    <w:p>
      <w:pPr>
        <w:pStyle w:val="4"/>
        <w:spacing w:before="2"/>
        <w:ind w:right="19"/>
        <w:jc w:val="both"/>
        <w:rPr>
          <w:rFonts w:ascii="华文仿宋" w:hAnsi="华文仿宋" w:eastAsia="华文仿宋" w:cs="华文仿宋"/>
          <w:sz w:val="28"/>
          <w:szCs w:val="28"/>
        </w:rPr>
      </w:pPr>
    </w:p>
    <w:p>
      <w:pPr>
        <w:pStyle w:val="4"/>
        <w:numPr>
          <w:ilvl w:val="0"/>
          <w:numId w:val="2"/>
        </w:numPr>
        <w:ind w:right="19"/>
        <w:jc w:val="both"/>
        <w:rPr>
          <w:rFonts w:ascii="华文仿宋" w:hAnsi="华文仿宋" w:eastAsia="华文仿宋" w:cs="华文仿宋"/>
          <w:b/>
          <w:bCs/>
          <w:sz w:val="28"/>
          <w:szCs w:val="28"/>
        </w:rPr>
      </w:pPr>
      <w:r>
        <w:rPr>
          <w:rFonts w:hint="eastAsia" w:ascii="华文仿宋" w:hAnsi="华文仿宋" w:eastAsia="华文仿宋" w:cs="华文仿宋"/>
          <w:b/>
          <w:bCs/>
          <w:sz w:val="28"/>
          <w:szCs w:val="28"/>
        </w:rPr>
        <w:t>论文、知识产权类</w:t>
      </w:r>
    </w:p>
    <w:p>
      <w:pPr>
        <w:pStyle w:val="4"/>
        <w:spacing w:before="167" w:line="242" w:lineRule="auto"/>
        <w:ind w:right="19" w:firstLine="567"/>
        <w:jc w:val="both"/>
        <w:rPr>
          <w:rFonts w:ascii="华文仿宋" w:hAnsi="华文仿宋" w:eastAsia="华文仿宋" w:cs="华文仿宋"/>
          <w:spacing w:val="-2"/>
          <w:sz w:val="28"/>
          <w:szCs w:val="28"/>
        </w:rPr>
      </w:pPr>
      <w:r>
        <w:rPr>
          <w:rFonts w:hint="eastAsia" w:ascii="华文仿宋" w:hAnsi="华文仿宋" w:eastAsia="华文仿宋" w:cs="华文仿宋"/>
          <w:spacing w:val="-2"/>
          <w:sz w:val="28"/>
          <w:szCs w:val="28"/>
        </w:rPr>
        <w:t>表 4 列出了论文、知识产权类成果的基本学术分值。</w:t>
      </w:r>
    </w:p>
    <w:p>
      <w:pPr>
        <w:pStyle w:val="4"/>
        <w:ind w:right="19"/>
        <w:jc w:val="both"/>
        <w:rPr>
          <w:sz w:val="21"/>
          <w:szCs w:val="21"/>
        </w:rPr>
      </w:pPr>
    </w:p>
    <w:p>
      <w:pPr>
        <w:pStyle w:val="4"/>
        <w:ind w:right="19"/>
        <w:jc w:val="center"/>
        <w:rPr>
          <w:sz w:val="21"/>
          <w:szCs w:val="21"/>
        </w:rPr>
      </w:pPr>
      <w:r>
        <w:rPr>
          <w:sz w:val="21"/>
          <w:szCs w:val="21"/>
        </w:rPr>
        <w:t>表4 论文专利类加分表</w:t>
      </w:r>
    </w:p>
    <w:tbl>
      <w:tblPr>
        <w:tblStyle w:val="8"/>
        <w:tblW w:w="0" w:type="auto"/>
        <w:tblInd w:w="1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5"/>
        <w:gridCol w:w="2799"/>
        <w:gridCol w:w="1702"/>
      </w:tblGrid>
      <w:tr>
        <w:trPr>
          <w:trHeight w:val="311" w:hRule="atLeast"/>
        </w:trPr>
        <w:tc>
          <w:tcPr>
            <w:tcW w:w="1455" w:type="dxa"/>
            <w:vMerge w:val="restart"/>
          </w:tcPr>
          <w:p>
            <w:pPr>
              <w:pStyle w:val="11"/>
              <w:spacing w:before="0" w:line="240" w:lineRule="auto"/>
              <w:ind w:left="0" w:right="19"/>
              <w:jc w:val="both"/>
              <w:rPr>
                <w:b/>
                <w:bCs/>
                <w:sz w:val="24"/>
              </w:rPr>
            </w:pPr>
          </w:p>
          <w:p>
            <w:pPr>
              <w:pStyle w:val="11"/>
              <w:spacing w:before="177" w:line="240" w:lineRule="auto"/>
              <w:ind w:left="0" w:right="19"/>
              <w:jc w:val="both"/>
              <w:rPr>
                <w:b/>
                <w:bCs/>
                <w:sz w:val="24"/>
              </w:rPr>
            </w:pPr>
            <w:r>
              <w:rPr>
                <w:b/>
                <w:bCs/>
                <w:sz w:val="24"/>
              </w:rPr>
              <w:t>学术论文</w:t>
            </w:r>
          </w:p>
        </w:tc>
        <w:tc>
          <w:tcPr>
            <w:tcW w:w="2799" w:type="dxa"/>
          </w:tcPr>
          <w:p>
            <w:pPr>
              <w:pStyle w:val="11"/>
              <w:ind w:left="0" w:right="19"/>
              <w:jc w:val="both"/>
              <w:rPr>
                <w:sz w:val="24"/>
              </w:rPr>
            </w:pPr>
            <w:r>
              <w:rPr>
                <w:sz w:val="24"/>
              </w:rPr>
              <w:t>SCI 一区/CCF A 类</w:t>
            </w:r>
          </w:p>
        </w:tc>
        <w:tc>
          <w:tcPr>
            <w:tcW w:w="1702" w:type="dxa"/>
          </w:tcPr>
          <w:p>
            <w:pPr>
              <w:pStyle w:val="11"/>
              <w:ind w:left="0" w:right="19"/>
              <w:jc w:val="both"/>
              <w:rPr>
                <w:sz w:val="24"/>
              </w:rPr>
            </w:pPr>
            <w:r>
              <w:rPr>
                <w:sz w:val="24"/>
              </w:rPr>
              <w:t>200</w:t>
            </w:r>
          </w:p>
        </w:tc>
      </w:tr>
      <w:tr>
        <w:trPr>
          <w:trHeight w:val="311" w:hRule="atLeast"/>
        </w:trPr>
        <w:tc>
          <w:tcPr>
            <w:tcW w:w="1455" w:type="dxa"/>
            <w:vMerge w:val="continue"/>
            <w:tcBorders>
              <w:top w:val="nil"/>
            </w:tcBorders>
          </w:tcPr>
          <w:p>
            <w:pPr>
              <w:ind w:right="19"/>
              <w:jc w:val="both"/>
              <w:rPr>
                <w:b/>
                <w:bCs/>
                <w:sz w:val="2"/>
                <w:szCs w:val="2"/>
              </w:rPr>
            </w:pPr>
          </w:p>
        </w:tc>
        <w:tc>
          <w:tcPr>
            <w:tcW w:w="2799" w:type="dxa"/>
          </w:tcPr>
          <w:p>
            <w:pPr>
              <w:pStyle w:val="11"/>
              <w:ind w:left="0" w:right="19"/>
              <w:jc w:val="both"/>
              <w:rPr>
                <w:sz w:val="24"/>
              </w:rPr>
            </w:pPr>
            <w:r>
              <w:rPr>
                <w:sz w:val="24"/>
              </w:rPr>
              <w:t>SCI 二区/CCF B 类</w:t>
            </w:r>
          </w:p>
        </w:tc>
        <w:tc>
          <w:tcPr>
            <w:tcW w:w="1702" w:type="dxa"/>
          </w:tcPr>
          <w:p>
            <w:pPr>
              <w:pStyle w:val="11"/>
              <w:ind w:left="0" w:right="19"/>
              <w:jc w:val="both"/>
              <w:rPr>
                <w:sz w:val="24"/>
              </w:rPr>
            </w:pPr>
            <w:r>
              <w:rPr>
                <w:sz w:val="24"/>
              </w:rPr>
              <w:t>80</w:t>
            </w:r>
          </w:p>
        </w:tc>
      </w:tr>
      <w:tr>
        <w:trPr>
          <w:trHeight w:val="311" w:hRule="atLeast"/>
        </w:trPr>
        <w:tc>
          <w:tcPr>
            <w:tcW w:w="1455" w:type="dxa"/>
            <w:vMerge w:val="continue"/>
            <w:tcBorders>
              <w:top w:val="nil"/>
            </w:tcBorders>
          </w:tcPr>
          <w:p>
            <w:pPr>
              <w:ind w:right="19"/>
              <w:jc w:val="both"/>
              <w:rPr>
                <w:b/>
                <w:bCs/>
                <w:sz w:val="2"/>
                <w:szCs w:val="2"/>
              </w:rPr>
            </w:pPr>
          </w:p>
        </w:tc>
        <w:tc>
          <w:tcPr>
            <w:tcW w:w="2799" w:type="dxa"/>
          </w:tcPr>
          <w:p>
            <w:pPr>
              <w:pStyle w:val="11"/>
              <w:ind w:left="0" w:right="19"/>
              <w:jc w:val="both"/>
              <w:rPr>
                <w:sz w:val="24"/>
              </w:rPr>
            </w:pPr>
            <w:r>
              <w:rPr>
                <w:spacing w:val="-20"/>
                <w:sz w:val="24"/>
              </w:rPr>
              <w:t xml:space="preserve">其他 </w:t>
            </w:r>
            <w:r>
              <w:rPr>
                <w:sz w:val="24"/>
              </w:rPr>
              <w:t>SCI</w:t>
            </w:r>
            <w:r>
              <w:rPr>
                <w:spacing w:val="-20"/>
                <w:sz w:val="24"/>
              </w:rPr>
              <w:t xml:space="preserve"> 论文</w:t>
            </w:r>
            <w:r>
              <w:rPr>
                <w:sz w:val="24"/>
              </w:rPr>
              <w:t>/ CCF C</w:t>
            </w:r>
            <w:r>
              <w:rPr>
                <w:spacing w:val="-30"/>
                <w:sz w:val="24"/>
              </w:rPr>
              <w:t xml:space="preserve"> 类</w:t>
            </w:r>
          </w:p>
        </w:tc>
        <w:tc>
          <w:tcPr>
            <w:tcW w:w="1702" w:type="dxa"/>
          </w:tcPr>
          <w:p>
            <w:pPr>
              <w:pStyle w:val="11"/>
              <w:ind w:left="0" w:right="19"/>
              <w:jc w:val="both"/>
              <w:rPr>
                <w:sz w:val="24"/>
              </w:rPr>
            </w:pPr>
            <w:r>
              <w:rPr>
                <w:sz w:val="24"/>
              </w:rPr>
              <w:t>60</w:t>
            </w:r>
          </w:p>
        </w:tc>
      </w:tr>
      <w:tr>
        <w:trPr>
          <w:trHeight w:val="312" w:hRule="atLeast"/>
        </w:trPr>
        <w:tc>
          <w:tcPr>
            <w:tcW w:w="1455" w:type="dxa"/>
            <w:vMerge w:val="continue"/>
            <w:tcBorders>
              <w:top w:val="nil"/>
            </w:tcBorders>
          </w:tcPr>
          <w:p>
            <w:pPr>
              <w:ind w:right="19"/>
              <w:jc w:val="both"/>
              <w:rPr>
                <w:b/>
                <w:bCs/>
                <w:sz w:val="2"/>
                <w:szCs w:val="2"/>
              </w:rPr>
            </w:pPr>
          </w:p>
        </w:tc>
        <w:tc>
          <w:tcPr>
            <w:tcW w:w="2799" w:type="dxa"/>
          </w:tcPr>
          <w:p>
            <w:pPr>
              <w:pStyle w:val="11"/>
              <w:ind w:left="0" w:right="19"/>
              <w:jc w:val="both"/>
              <w:rPr>
                <w:sz w:val="24"/>
              </w:rPr>
            </w:pPr>
            <w:r>
              <w:rPr>
                <w:sz w:val="24"/>
              </w:rPr>
              <w:t>国内核心/其他 EI 论文</w:t>
            </w:r>
          </w:p>
        </w:tc>
        <w:tc>
          <w:tcPr>
            <w:tcW w:w="1702" w:type="dxa"/>
          </w:tcPr>
          <w:p>
            <w:pPr>
              <w:pStyle w:val="11"/>
              <w:ind w:left="0" w:right="19"/>
              <w:jc w:val="both"/>
              <w:rPr>
                <w:sz w:val="24"/>
              </w:rPr>
            </w:pPr>
            <w:r>
              <w:rPr>
                <w:sz w:val="24"/>
              </w:rPr>
              <w:t>20</w:t>
            </w:r>
          </w:p>
        </w:tc>
      </w:tr>
      <w:tr>
        <w:trPr>
          <w:trHeight w:val="369" w:hRule="atLeast"/>
        </w:trPr>
        <w:tc>
          <w:tcPr>
            <w:tcW w:w="1455" w:type="dxa"/>
            <w:vMerge w:val="restart"/>
          </w:tcPr>
          <w:p>
            <w:pPr>
              <w:pStyle w:val="11"/>
              <w:spacing w:before="191" w:line="240" w:lineRule="auto"/>
              <w:ind w:left="0" w:right="19"/>
              <w:jc w:val="both"/>
              <w:rPr>
                <w:b/>
                <w:bCs/>
                <w:sz w:val="24"/>
              </w:rPr>
            </w:pPr>
            <w:r>
              <w:rPr>
                <w:b/>
                <w:bCs/>
                <w:sz w:val="24"/>
              </w:rPr>
              <w:t>专利</w:t>
            </w:r>
          </w:p>
        </w:tc>
        <w:tc>
          <w:tcPr>
            <w:tcW w:w="2799" w:type="dxa"/>
          </w:tcPr>
          <w:p>
            <w:pPr>
              <w:pStyle w:val="11"/>
              <w:spacing w:before="31" w:line="240" w:lineRule="auto"/>
              <w:ind w:left="0" w:right="19"/>
              <w:jc w:val="both"/>
              <w:rPr>
                <w:sz w:val="24"/>
              </w:rPr>
            </w:pPr>
            <w:r>
              <w:rPr>
                <w:sz w:val="24"/>
              </w:rPr>
              <w:t>授权</w:t>
            </w:r>
          </w:p>
        </w:tc>
        <w:tc>
          <w:tcPr>
            <w:tcW w:w="1702" w:type="dxa"/>
          </w:tcPr>
          <w:p>
            <w:pPr>
              <w:pStyle w:val="11"/>
              <w:spacing w:before="31" w:line="240" w:lineRule="auto"/>
              <w:ind w:left="0" w:right="19"/>
              <w:jc w:val="both"/>
              <w:rPr>
                <w:sz w:val="24"/>
              </w:rPr>
            </w:pPr>
            <w:r>
              <w:rPr>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1455" w:type="dxa"/>
            <w:vMerge w:val="continue"/>
            <w:tcBorders>
              <w:top w:val="nil"/>
            </w:tcBorders>
          </w:tcPr>
          <w:p>
            <w:pPr>
              <w:ind w:right="19"/>
              <w:jc w:val="both"/>
              <w:rPr>
                <w:b/>
                <w:bCs/>
                <w:sz w:val="2"/>
                <w:szCs w:val="2"/>
              </w:rPr>
            </w:pPr>
          </w:p>
        </w:tc>
        <w:tc>
          <w:tcPr>
            <w:tcW w:w="2799" w:type="dxa"/>
          </w:tcPr>
          <w:p>
            <w:pPr>
              <w:pStyle w:val="11"/>
              <w:ind w:left="0" w:right="19"/>
              <w:jc w:val="both"/>
              <w:rPr>
                <w:sz w:val="24"/>
              </w:rPr>
            </w:pPr>
            <w:r>
              <w:rPr>
                <w:sz w:val="24"/>
              </w:rPr>
              <w:t>申请</w:t>
            </w:r>
          </w:p>
        </w:tc>
        <w:tc>
          <w:tcPr>
            <w:tcW w:w="1702" w:type="dxa"/>
          </w:tcPr>
          <w:p>
            <w:pPr>
              <w:pStyle w:val="11"/>
              <w:ind w:left="0" w:right="19"/>
              <w:jc w:val="both"/>
              <w:rPr>
                <w:sz w:val="24"/>
              </w:rPr>
            </w:pPr>
            <w:r>
              <w:rPr>
                <w:sz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4" w:hRule="atLeast"/>
        </w:trPr>
        <w:tc>
          <w:tcPr>
            <w:tcW w:w="1455" w:type="dxa"/>
          </w:tcPr>
          <w:p>
            <w:pPr>
              <w:pStyle w:val="11"/>
              <w:spacing w:before="4"/>
              <w:ind w:left="0" w:right="19"/>
              <w:jc w:val="both"/>
              <w:rPr>
                <w:b/>
                <w:bCs/>
                <w:sz w:val="24"/>
              </w:rPr>
            </w:pPr>
            <w:r>
              <w:rPr>
                <w:b/>
                <w:bCs/>
                <w:sz w:val="24"/>
              </w:rPr>
              <w:t>软件著作权</w:t>
            </w:r>
          </w:p>
        </w:tc>
        <w:tc>
          <w:tcPr>
            <w:tcW w:w="2799" w:type="dxa"/>
          </w:tcPr>
          <w:p>
            <w:pPr>
              <w:pStyle w:val="11"/>
              <w:spacing w:before="0" w:line="240" w:lineRule="auto"/>
              <w:ind w:left="0" w:right="19"/>
              <w:jc w:val="both"/>
              <w:rPr>
                <w:rFonts w:ascii="Times New Roman"/>
              </w:rPr>
            </w:pPr>
          </w:p>
        </w:tc>
        <w:tc>
          <w:tcPr>
            <w:tcW w:w="1702" w:type="dxa"/>
          </w:tcPr>
          <w:p>
            <w:pPr>
              <w:pStyle w:val="11"/>
              <w:spacing w:before="4"/>
              <w:ind w:left="0" w:right="19"/>
              <w:jc w:val="both"/>
              <w:rPr>
                <w:sz w:val="24"/>
              </w:rPr>
            </w:pPr>
            <w:r>
              <w:rPr>
                <w:sz w:val="24"/>
              </w:rPr>
              <w:t>10</w:t>
            </w:r>
          </w:p>
        </w:tc>
      </w:tr>
    </w:tbl>
    <w:p>
      <w:pPr>
        <w:pStyle w:val="4"/>
        <w:spacing w:before="1"/>
        <w:ind w:right="19"/>
        <w:jc w:val="both"/>
        <w:rPr>
          <w:sz w:val="22"/>
        </w:rPr>
      </w:pPr>
    </w:p>
    <w:p>
      <w:pPr>
        <w:pStyle w:val="10"/>
        <w:tabs>
          <w:tab w:val="left" w:pos="819"/>
        </w:tabs>
        <w:spacing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2"/>
          <w:sz w:val="28"/>
          <w:szCs w:val="28"/>
        </w:rPr>
        <w:t xml:space="preserve">(1) </w:t>
      </w:r>
      <w:r>
        <w:rPr>
          <w:rFonts w:hint="eastAsia" w:ascii="华文仿宋" w:hAnsi="华文仿宋" w:eastAsia="华文仿宋" w:cs="华文仿宋"/>
          <w:spacing w:val="-2"/>
          <w:sz w:val="28"/>
          <w:szCs w:val="28"/>
        </w:rPr>
        <w:t>仅适用于与专业相关</w:t>
      </w:r>
      <w:r>
        <w:rPr>
          <w:rFonts w:hint="eastAsia" w:ascii="华文仿宋" w:hAnsi="华文仿宋" w:eastAsia="华文仿宋" w:cs="华文仿宋"/>
          <w:sz w:val="28"/>
          <w:szCs w:val="28"/>
        </w:rPr>
        <w:t>（包括交叉学科和跨学科</w:t>
      </w:r>
      <w:r>
        <w:rPr>
          <w:rFonts w:hint="eastAsia" w:ascii="华文仿宋" w:hAnsi="华文仿宋" w:eastAsia="华文仿宋" w:cs="华文仿宋"/>
          <w:spacing w:val="-10"/>
          <w:sz w:val="28"/>
          <w:szCs w:val="28"/>
        </w:rPr>
        <w:t>）</w:t>
      </w:r>
      <w:r>
        <w:rPr>
          <w:rFonts w:hint="eastAsia" w:ascii="华文仿宋" w:hAnsi="华文仿宋" w:eastAsia="华文仿宋" w:cs="华文仿宋"/>
          <w:spacing w:val="-4"/>
          <w:sz w:val="28"/>
          <w:szCs w:val="28"/>
        </w:rPr>
        <w:t>的学术类科技论文；与专业</w:t>
      </w:r>
      <w:r>
        <w:rPr>
          <w:rFonts w:hint="eastAsia" w:ascii="华文仿宋" w:hAnsi="华文仿宋" w:eastAsia="华文仿宋" w:cs="华文仿宋"/>
          <w:sz w:val="28"/>
          <w:szCs w:val="28"/>
        </w:rPr>
        <w:t>无任何关联或科普类论文不予加分。以下三种情况可获得全部论文加分：</w:t>
      </w:r>
    </w:p>
    <w:p>
      <w:pPr>
        <w:pStyle w:val="4"/>
        <w:spacing w:line="242"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① 论文中仅有一名学生作者，且学生符合以下情况：第一作者、通信作者、第二作者且本校导师为第一作者，则该学生获得 100%加分。</w:t>
      </w:r>
    </w:p>
    <w:p>
      <w:pPr>
        <w:pStyle w:val="4"/>
        <w:spacing w:line="24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② 论文中有多名学生作者，排序最前的学生符合以下情况：第一作者、通信作者、第二作者且本校导师为第一作者，则该学生获得 75%加分，排序第二的学生则获得25%加分。（注：去掉本校导师后计算排序）</w:t>
      </w:r>
    </w:p>
    <w:p>
      <w:pPr>
        <w:pStyle w:val="4"/>
        <w:spacing w:before="1" w:line="242"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③ 论文中有多名学生作者，若排序最前的学生不符合以下情况：第一作者、通信作者、第二作者且本校导师为第一作者，则该学生获得 25%加分。</w:t>
      </w:r>
    </w:p>
    <w:p>
      <w:pPr>
        <w:pStyle w:val="10"/>
        <w:tabs>
          <w:tab w:val="left" w:pos="819"/>
        </w:tabs>
        <w:spacing w:before="44"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2"/>
          <w:sz w:val="28"/>
          <w:szCs w:val="28"/>
        </w:rPr>
        <w:t xml:space="preserve">(2) </w:t>
      </w:r>
      <w:r>
        <w:rPr>
          <w:rFonts w:hint="eastAsia" w:ascii="华文仿宋" w:hAnsi="华文仿宋" w:eastAsia="华文仿宋" w:cs="华文仿宋"/>
          <w:spacing w:val="-2"/>
          <w:sz w:val="28"/>
          <w:szCs w:val="28"/>
        </w:rPr>
        <w:t>仅适用于与专业相关</w:t>
      </w:r>
      <w:r>
        <w:rPr>
          <w:rFonts w:hint="eastAsia" w:ascii="华文仿宋" w:hAnsi="华文仿宋" w:eastAsia="华文仿宋" w:cs="华文仿宋"/>
          <w:sz w:val="28"/>
          <w:szCs w:val="28"/>
        </w:rPr>
        <w:t>（包括交叉学科和跨学科</w:t>
      </w:r>
      <w:r>
        <w:rPr>
          <w:rFonts w:hint="eastAsia" w:ascii="华文仿宋" w:hAnsi="华文仿宋" w:eastAsia="华文仿宋" w:cs="华文仿宋"/>
          <w:spacing w:val="-10"/>
          <w:sz w:val="28"/>
          <w:szCs w:val="28"/>
        </w:rPr>
        <w:t>）</w:t>
      </w:r>
      <w:r>
        <w:rPr>
          <w:rFonts w:hint="eastAsia" w:ascii="华文仿宋" w:hAnsi="华文仿宋" w:eastAsia="华文仿宋" w:cs="华文仿宋"/>
          <w:spacing w:val="-4"/>
          <w:sz w:val="28"/>
          <w:szCs w:val="28"/>
        </w:rPr>
        <w:t>的发明专利；与专业无关的</w:t>
      </w:r>
      <w:r>
        <w:rPr>
          <w:rFonts w:hint="eastAsia" w:ascii="华文仿宋" w:hAnsi="华文仿宋" w:eastAsia="华文仿宋" w:cs="华文仿宋"/>
          <w:sz w:val="28"/>
          <w:szCs w:val="28"/>
        </w:rPr>
        <w:t>其他专利不予加分。计算方法同论文。</w:t>
      </w:r>
    </w:p>
    <w:p>
      <w:pPr>
        <w:pStyle w:val="10"/>
        <w:tabs>
          <w:tab w:val="left" w:pos="819"/>
        </w:tabs>
        <w:ind w:left="0" w:right="19"/>
        <w:jc w:val="both"/>
        <w:rPr>
          <w:rFonts w:ascii="华文仿宋" w:hAnsi="华文仿宋" w:eastAsia="华文仿宋" w:cs="华文仿宋"/>
          <w:sz w:val="28"/>
          <w:szCs w:val="28"/>
        </w:rPr>
      </w:pPr>
      <w:r>
        <w:rPr>
          <w:rFonts w:hint="eastAsia" w:ascii="华文仿宋" w:hAnsi="华文仿宋" w:eastAsia="华文仿宋" w:cs="华文仿宋"/>
          <w:b/>
          <w:bCs/>
          <w:sz w:val="28"/>
          <w:szCs w:val="28"/>
        </w:rPr>
        <w:t xml:space="preserve">(3) </w:t>
      </w:r>
      <w:r>
        <w:rPr>
          <w:rFonts w:hint="eastAsia" w:ascii="华文仿宋" w:hAnsi="华文仿宋" w:eastAsia="华文仿宋" w:cs="华文仿宋"/>
          <w:sz w:val="28"/>
          <w:szCs w:val="28"/>
        </w:rPr>
        <w:t>论文和专利均要求第一作者或通信作者单位为华东师范大学。</w:t>
      </w:r>
    </w:p>
    <w:p>
      <w:pPr>
        <w:pStyle w:val="10"/>
        <w:tabs>
          <w:tab w:val="left" w:pos="819"/>
        </w:tabs>
        <w:spacing w:line="242" w:lineRule="auto"/>
        <w:ind w:left="0" w:right="19"/>
        <w:jc w:val="both"/>
        <w:rPr>
          <w:rFonts w:ascii="华文仿宋" w:hAnsi="华文仿宋" w:eastAsia="华文仿宋" w:cs="华文仿宋"/>
          <w:sz w:val="28"/>
          <w:szCs w:val="28"/>
        </w:rPr>
      </w:pPr>
      <w:r>
        <w:rPr>
          <w:rFonts w:hint="eastAsia" w:ascii="华文仿宋" w:hAnsi="华文仿宋" w:eastAsia="华文仿宋" w:cs="华文仿宋"/>
          <w:b/>
          <w:bCs/>
          <w:spacing w:val="-5"/>
          <w:sz w:val="28"/>
          <w:szCs w:val="28"/>
        </w:rPr>
        <w:t xml:space="preserve">(4) </w:t>
      </w:r>
      <w:r>
        <w:rPr>
          <w:rFonts w:hint="eastAsia" w:ascii="华文仿宋" w:hAnsi="华文仿宋" w:eastAsia="华文仿宋" w:cs="华文仿宋"/>
          <w:spacing w:val="-5"/>
          <w:sz w:val="28"/>
          <w:szCs w:val="28"/>
        </w:rPr>
        <w:t xml:space="preserve">学生获得软件著作权的，每项可获得 </w:t>
      </w:r>
      <w:r>
        <w:rPr>
          <w:rFonts w:hint="eastAsia" w:ascii="华文仿宋" w:hAnsi="华文仿宋" w:eastAsia="华文仿宋" w:cs="华文仿宋"/>
          <w:sz w:val="28"/>
          <w:szCs w:val="28"/>
        </w:rPr>
        <w:t>10</w:t>
      </w:r>
      <w:r>
        <w:rPr>
          <w:rFonts w:hint="eastAsia" w:ascii="华文仿宋" w:hAnsi="华文仿宋" w:eastAsia="华文仿宋" w:cs="华文仿宋"/>
          <w:spacing w:val="-14"/>
          <w:sz w:val="28"/>
          <w:szCs w:val="28"/>
        </w:rPr>
        <w:t xml:space="preserve"> 分，加分最高累计可加 </w:t>
      </w:r>
      <w:r>
        <w:rPr>
          <w:rFonts w:hint="eastAsia" w:ascii="华文仿宋" w:hAnsi="华文仿宋" w:eastAsia="华文仿宋" w:cs="华文仿宋"/>
          <w:sz w:val="28"/>
          <w:szCs w:val="28"/>
        </w:rPr>
        <w:t>30</w:t>
      </w:r>
      <w:r>
        <w:rPr>
          <w:rFonts w:hint="eastAsia" w:ascii="华文仿宋" w:hAnsi="华文仿宋" w:eastAsia="华文仿宋" w:cs="华文仿宋"/>
          <w:spacing w:val="-18"/>
          <w:sz w:val="28"/>
          <w:szCs w:val="28"/>
        </w:rPr>
        <w:t xml:space="preserve"> 分，分数</w:t>
      </w:r>
      <w:r>
        <w:rPr>
          <w:rFonts w:hint="eastAsia" w:ascii="华文仿宋" w:hAnsi="华文仿宋" w:eastAsia="华文仿宋" w:cs="华文仿宋"/>
          <w:sz w:val="28"/>
          <w:szCs w:val="28"/>
        </w:rPr>
        <w:t>由实际参与的多名学生分摊。</w:t>
      </w:r>
    </w:p>
    <w:p>
      <w:pPr>
        <w:pStyle w:val="4"/>
        <w:numPr>
          <w:ilvl w:val="0"/>
          <w:numId w:val="1"/>
        </w:numPr>
        <w:spacing w:before="120" w:beforeLines="50"/>
        <w:ind w:right="17"/>
        <w:jc w:val="both"/>
        <w:rPr>
          <w:rFonts w:ascii="华文仿宋" w:hAnsi="华文仿宋" w:eastAsia="华文仿宋" w:cs="华文仿宋"/>
          <w:spacing w:val="-7"/>
          <w:sz w:val="28"/>
          <w:szCs w:val="28"/>
        </w:rPr>
      </w:pPr>
      <w:r>
        <w:rPr>
          <w:rFonts w:hint="eastAsia" w:ascii="华文仿宋" w:hAnsi="华文仿宋" w:eastAsia="华文仿宋" w:cs="华文仿宋"/>
          <w:spacing w:val="-7"/>
          <w:sz w:val="28"/>
          <w:szCs w:val="28"/>
        </w:rPr>
        <w:t>其他</w:t>
      </w:r>
    </w:p>
    <w:p>
      <w:pPr>
        <w:pStyle w:val="4"/>
        <w:spacing w:before="167" w:line="242" w:lineRule="auto"/>
        <w:ind w:right="19" w:firstLine="567"/>
        <w:jc w:val="both"/>
        <w:rPr>
          <w:rFonts w:ascii="华文仿宋" w:hAnsi="华文仿宋" w:eastAsia="华文仿宋" w:cs="华文仿宋"/>
          <w:spacing w:val="-2"/>
          <w:sz w:val="28"/>
          <w:szCs w:val="28"/>
        </w:rPr>
      </w:pPr>
      <w:r>
        <w:rPr>
          <w:rFonts w:hint="eastAsia" w:ascii="华文仿宋" w:hAnsi="华文仿宋" w:eastAsia="华文仿宋" w:cs="华文仿宋"/>
          <w:spacing w:val="-2"/>
          <w:sz w:val="28"/>
          <w:szCs w:val="28"/>
        </w:rPr>
        <w:t>本办法没有明确规定的论文和竞赛类项目，由评审小组本着公平、公正、合理的原则予以认定。</w:t>
      </w:r>
    </w:p>
    <w:p>
      <w:pPr>
        <w:spacing w:line="242" w:lineRule="auto"/>
        <w:ind w:right="19"/>
        <w:jc w:val="both"/>
        <w:rPr>
          <w:rFonts w:ascii="华文仿宋" w:hAnsi="华文仿宋" w:eastAsia="华文仿宋" w:cs="华文仿宋"/>
          <w:sz w:val="28"/>
          <w:szCs w:val="28"/>
        </w:rPr>
      </w:pPr>
    </w:p>
    <w:p>
      <w:pPr>
        <w:ind w:right="19"/>
        <w:jc w:val="right"/>
        <w:rPr>
          <w:rFonts w:ascii="华文仿宋" w:hAnsi="华文仿宋" w:eastAsia="华文仿宋" w:cs="华文仿宋"/>
          <w:sz w:val="28"/>
          <w:szCs w:val="28"/>
        </w:rPr>
      </w:pPr>
      <w:r>
        <w:rPr>
          <w:rFonts w:hint="eastAsia" w:ascii="华文仿宋" w:hAnsi="华文仿宋" w:eastAsia="华文仿宋" w:cs="华文仿宋"/>
          <w:spacing w:val="-3"/>
          <w:sz w:val="28"/>
          <w:szCs w:val="28"/>
        </w:rPr>
        <w:t>计算机科学与技术学院</w:t>
      </w:r>
    </w:p>
    <w:p>
      <w:pPr>
        <w:spacing w:before="121"/>
        <w:ind w:right="19"/>
        <w:jc w:val="right"/>
        <w:rPr>
          <w:rFonts w:ascii="华文仿宋" w:hAnsi="华文仿宋" w:eastAsia="华文仿宋" w:cs="华文仿宋"/>
          <w:sz w:val="28"/>
          <w:szCs w:val="28"/>
        </w:rPr>
      </w:pPr>
      <w:r>
        <w:rPr>
          <w:rFonts w:hint="eastAsia" w:ascii="华文仿宋" w:hAnsi="华文仿宋" w:eastAsia="华文仿宋" w:cs="华文仿宋"/>
          <w:sz w:val="28"/>
          <w:szCs w:val="28"/>
        </w:rPr>
        <w:t xml:space="preserve">2020 </w:t>
      </w:r>
      <w:r>
        <w:rPr>
          <w:rFonts w:hint="eastAsia" w:ascii="华文仿宋" w:hAnsi="华文仿宋" w:eastAsia="华文仿宋" w:cs="华文仿宋"/>
          <w:spacing w:val="-35"/>
          <w:sz w:val="28"/>
          <w:szCs w:val="28"/>
        </w:rPr>
        <w:t xml:space="preserve">年 </w:t>
      </w:r>
      <w:r>
        <w:rPr>
          <w:rFonts w:ascii="华文仿宋" w:hAnsi="华文仿宋" w:eastAsia="华文仿宋" w:cs="华文仿宋"/>
          <w:spacing w:val="-35"/>
          <w:sz w:val="28"/>
          <w:szCs w:val="28"/>
        </w:rPr>
        <w:t xml:space="preserve"> </w:t>
      </w:r>
      <w:r>
        <w:rPr>
          <w:rFonts w:hint="eastAsia" w:ascii="华文仿宋" w:hAnsi="华文仿宋" w:eastAsia="华文仿宋" w:cs="华文仿宋"/>
          <w:sz w:val="28"/>
          <w:szCs w:val="28"/>
        </w:rPr>
        <w:t>7 月</w:t>
      </w:r>
    </w:p>
    <w:p>
      <w:pPr>
        <w:spacing w:line="242" w:lineRule="auto"/>
        <w:ind w:right="299"/>
        <w:jc w:val="right"/>
        <w:rPr>
          <w:rFonts w:hint="eastAsia" w:ascii="华文仿宋" w:hAnsi="华文仿宋" w:eastAsia="华文仿宋" w:cs="华文仿宋"/>
          <w:sz w:val="28"/>
          <w:szCs w:val="28"/>
        </w:rPr>
        <w:sectPr>
          <w:pgSz w:w="11910" w:h="16840"/>
          <w:pgMar w:top="660" w:right="1380" w:bottom="860" w:left="1580" w:header="0" w:footer="676" w:gutter="0"/>
          <w:cols w:space="720" w:num="1"/>
        </w:sectPr>
      </w:pPr>
    </w:p>
    <w:p>
      <w:pPr>
        <w:pStyle w:val="2"/>
        <w:spacing w:line="388" w:lineRule="auto"/>
        <w:ind w:left="0" w:right="19"/>
        <w:jc w:val="both"/>
        <w:rPr>
          <w:rFonts w:hint="eastAsia"/>
          <w:spacing w:val="-14"/>
        </w:rPr>
      </w:pPr>
    </w:p>
    <w:p>
      <w:pPr>
        <w:pStyle w:val="2"/>
        <w:spacing w:line="388" w:lineRule="auto"/>
        <w:ind w:left="0" w:right="19"/>
        <w:jc w:val="both"/>
      </w:pPr>
      <w:r>
        <w:rPr>
          <w:spacing w:val="-14"/>
        </w:rPr>
        <w:t xml:space="preserve">附件二、计算机科学与技术专业 </w:t>
      </w:r>
      <w:r>
        <w:t>2021届</w:t>
      </w:r>
      <w:r>
        <w:rPr>
          <w:spacing w:val="-10"/>
        </w:rPr>
        <w:t>推荐免试直升研究生工作</w:t>
      </w:r>
      <w:r>
        <w:t>日程</w:t>
      </w:r>
    </w:p>
    <w:p>
      <w:pPr>
        <w:pStyle w:val="4"/>
        <w:spacing w:before="3"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1、7月10日前，研究确定 2021届计算机科学与技术专业推免办法（含综合排名方案），报校推免工作领导小组秘书处（教务处）审核及备案，并在计算机科学与技术学院网站、布告栏等官方公开渠道公布。</w:t>
      </w:r>
    </w:p>
    <w:p>
      <w:pPr>
        <w:pStyle w:val="4"/>
        <w:numPr>
          <w:ilvl w:val="0"/>
          <w:numId w:val="3"/>
        </w:numPr>
        <w:spacing w:before="161"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将2020年春季学期课程成绩纳入推免计算范围，在9月1日前发布成绩。如疫情变化以教务处最新通知为准。</w:t>
      </w:r>
    </w:p>
    <w:p>
      <w:pPr>
        <w:pStyle w:val="4"/>
        <w:numPr>
          <w:ilvl w:val="0"/>
          <w:numId w:val="3"/>
        </w:numPr>
        <w:spacing w:before="161"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9月10日前，根据教育部和学校推免工作要求，组织遴选推荐，在计算机科学与技术学院网站上公示拟推荐名单（含姓名、学号、专业、综合测评成绩、排名等）、申请“特别推免程序”名单（含姓名、学号、专业、综合测评成绩、排名、三教授推荐信息等）以及咨询申诉渠道等信息。</w:t>
      </w:r>
    </w:p>
    <w:p>
      <w:pPr>
        <w:pStyle w:val="4"/>
        <w:spacing w:before="3"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4</w:t>
      </w:r>
      <w:r>
        <w:rPr>
          <w:rFonts w:hint="eastAsia" w:ascii="华文仿宋" w:hAnsi="华文仿宋" w:eastAsia="华文仿宋" w:cs="华文仿宋"/>
          <w:spacing w:val="-34"/>
          <w:sz w:val="28"/>
          <w:szCs w:val="28"/>
        </w:rPr>
        <w:t>、</w:t>
      </w:r>
      <w:r>
        <w:rPr>
          <w:rFonts w:hint="eastAsia" w:ascii="华文仿宋" w:hAnsi="华文仿宋" w:eastAsia="华文仿宋" w:cs="华文仿宋"/>
          <w:sz w:val="28"/>
          <w:szCs w:val="28"/>
        </w:rPr>
        <w:t>9月15日前，将推免名单汇总表、《华东师范大学本科生免试直升2021年研究生推荐表》以及申请“特别推免程序”的材料报送学校教务处。</w:t>
      </w:r>
    </w:p>
    <w:p>
      <w:pPr>
        <w:pStyle w:val="4"/>
        <w:spacing w:before="1"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5、9月18日（暂定），学校推免工作领导小组复审，组织“特别推免程序”申请者考核答辩，确定学校拟推免名单，并在学校网站公示（含姓名、学号、专业等），公示期至9月22日。</w:t>
      </w:r>
    </w:p>
    <w:p>
      <w:pPr>
        <w:pStyle w:val="4"/>
        <w:spacing w:before="162" w:line="364" w:lineRule="auto"/>
        <w:ind w:right="19"/>
        <w:jc w:val="both"/>
        <w:rPr>
          <w:rFonts w:ascii="华文仿宋" w:hAnsi="华文仿宋" w:eastAsia="华文仿宋" w:cs="华文仿宋"/>
          <w:sz w:val="28"/>
          <w:szCs w:val="28"/>
        </w:rPr>
      </w:pPr>
      <w:r>
        <w:rPr>
          <w:rFonts w:hint="eastAsia" w:ascii="华文仿宋" w:hAnsi="华文仿宋" w:eastAsia="华文仿宋" w:cs="华文仿宋"/>
          <w:sz w:val="28"/>
          <w:szCs w:val="28"/>
        </w:rPr>
        <w:t xml:space="preserve">计算机科学与技术专业推免工作咨询和投诉联系人： 陈蕾， 联系电话021-62233578，邮件 </w:t>
      </w:r>
      <w:r>
        <w:fldChar w:fldCharType="begin"/>
      </w:r>
      <w:r>
        <w:instrText xml:space="preserve"> HYPERLINK "mailto:lchen@cs.ecnu.edu.cn" \h </w:instrText>
      </w:r>
      <w:r>
        <w:fldChar w:fldCharType="separate"/>
      </w:r>
      <w:r>
        <w:rPr>
          <w:rFonts w:hint="eastAsia" w:ascii="华文仿宋" w:hAnsi="华文仿宋" w:eastAsia="华文仿宋" w:cs="华文仿宋"/>
          <w:sz w:val="28"/>
          <w:szCs w:val="28"/>
        </w:rPr>
        <w:t>lchen@cs.ecnu.edu.cn</w:t>
      </w:r>
      <w:r>
        <w:rPr>
          <w:rFonts w:hint="eastAsia" w:ascii="华文仿宋" w:hAnsi="华文仿宋" w:eastAsia="华文仿宋" w:cs="华文仿宋"/>
          <w:sz w:val="28"/>
          <w:szCs w:val="28"/>
        </w:rPr>
        <w:fldChar w:fldCharType="end"/>
      </w:r>
      <w:r>
        <w:rPr>
          <w:rFonts w:hint="eastAsia" w:ascii="华文仿宋" w:hAnsi="华文仿宋" w:eastAsia="华文仿宋" w:cs="华文仿宋"/>
          <w:sz w:val="28"/>
          <w:szCs w:val="28"/>
        </w:rPr>
        <w:t>。</w:t>
      </w:r>
    </w:p>
    <w:p>
      <w:pPr>
        <w:ind w:right="19"/>
        <w:jc w:val="right"/>
        <w:rPr>
          <w:rFonts w:ascii="华文仿宋" w:hAnsi="华文仿宋" w:eastAsia="华文仿宋" w:cs="华文仿宋"/>
          <w:sz w:val="28"/>
          <w:szCs w:val="28"/>
        </w:rPr>
      </w:pPr>
      <w:r>
        <w:rPr>
          <w:rFonts w:hint="eastAsia" w:ascii="华文仿宋" w:hAnsi="华文仿宋" w:eastAsia="华文仿宋" w:cs="华文仿宋"/>
          <w:spacing w:val="-3"/>
          <w:sz w:val="28"/>
          <w:szCs w:val="28"/>
        </w:rPr>
        <w:t>计算机科学与技术学院</w:t>
      </w:r>
    </w:p>
    <w:p>
      <w:pPr>
        <w:spacing w:before="121"/>
        <w:ind w:right="19"/>
        <w:jc w:val="right"/>
        <w:rPr>
          <w:rFonts w:ascii="华文仿宋" w:hAnsi="华文仿宋" w:eastAsia="华文仿宋" w:cs="华文仿宋"/>
          <w:sz w:val="28"/>
          <w:szCs w:val="28"/>
        </w:rPr>
      </w:pPr>
      <w:r>
        <w:rPr>
          <w:rFonts w:hint="eastAsia" w:ascii="华文仿宋" w:hAnsi="华文仿宋" w:eastAsia="华文仿宋" w:cs="华文仿宋"/>
          <w:sz w:val="28"/>
          <w:szCs w:val="28"/>
        </w:rPr>
        <w:t xml:space="preserve">2020 </w:t>
      </w:r>
      <w:r>
        <w:rPr>
          <w:rFonts w:hint="eastAsia" w:ascii="华文仿宋" w:hAnsi="华文仿宋" w:eastAsia="华文仿宋" w:cs="华文仿宋"/>
          <w:spacing w:val="-35"/>
          <w:sz w:val="28"/>
          <w:szCs w:val="28"/>
        </w:rPr>
        <w:t xml:space="preserve">年  </w:t>
      </w:r>
      <w:r>
        <w:rPr>
          <w:rFonts w:hint="eastAsia" w:ascii="华文仿宋" w:hAnsi="华文仿宋" w:eastAsia="华文仿宋" w:cs="华文仿宋"/>
          <w:sz w:val="28"/>
          <w:szCs w:val="28"/>
        </w:rPr>
        <w:t>7 月</w:t>
      </w:r>
    </w:p>
    <w:sectPr>
      <w:pgSz w:w="11910" w:h="16840"/>
      <w:pgMar w:top="780" w:right="1380" w:bottom="860" w:left="1580" w:header="0" w:footer="67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黑体">
    <w:altName w:val="汉仪中黑KW"/>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汉仪中黑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487348224" behindDoc="1" locked="0" layoutInCell="1" allowOverlap="1">
              <wp:simplePos x="0" y="0"/>
              <wp:positionH relativeFrom="page">
                <wp:posOffset>3421380</wp:posOffset>
              </wp:positionH>
              <wp:positionV relativeFrom="page">
                <wp:posOffset>10123170</wp:posOffset>
              </wp:positionV>
              <wp:extent cx="865505" cy="1524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865505" cy="152400"/>
                      </a:xfrm>
                      <a:prstGeom prst="rect">
                        <a:avLst/>
                      </a:prstGeom>
                      <a:noFill/>
                      <a:ln w="9525">
                        <a:noFill/>
                      </a:ln>
                    </wps:spPr>
                    <wps:txbx>
                      <w:txbxContent>
                        <w:p>
                          <w:pPr>
                            <w:ind w:left="20"/>
                            <w:rPr>
                              <w:sz w:val="18"/>
                            </w:rPr>
                          </w:pPr>
                          <w:r>
                            <w:rPr>
                              <w:spacing w:val="-23"/>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pacing w:val="-12"/>
                              <w:sz w:val="18"/>
                            </w:rPr>
                            <w:t xml:space="preserve">页，共 </w:t>
                          </w:r>
                          <w:r>
                            <w:rPr>
                              <w:rFonts w:ascii="Times New Roman" w:eastAsia="Times New Roman"/>
                              <w:sz w:val="18"/>
                            </w:rPr>
                            <w:t xml:space="preserve">7 </w:t>
                          </w:r>
                          <w:r>
                            <w:rPr>
                              <w:sz w:val="18"/>
                            </w:rPr>
                            <w:t>页</w:t>
                          </w:r>
                        </w:p>
                      </w:txbxContent>
                    </wps:txbx>
                    <wps:bodyPr lIns="0" tIns="0" rIns="0" bIns="0" upright="1"/>
                  </wps:wsp>
                </a:graphicData>
              </a:graphic>
            </wp:anchor>
          </w:drawing>
        </mc:Choice>
        <mc:Fallback>
          <w:pict>
            <v:shape id="文本框 1025" o:spid="_x0000_s1026" o:spt="202" type="#_x0000_t202" style="position:absolute;left:0pt;margin-left:269.4pt;margin-top:797.1pt;height:12pt;width:68.15pt;mso-position-horizontal-relative:page;mso-position-vertical-relative:page;z-index:-15968256;mso-width-relative:page;mso-height-relative:page;" filled="f" stroked="f" coordsize="21600,21600" o:gfxdata="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LxxhK2wAAAA0BAAAPAAAAAAAAAAEAIAAAADgAAABkcnMvZG93bnJldi54&#10;bWxQSwECFAAUAAAACACHTuJALTpAH6gBAAAvAwAADgAAAAAAAAABACAAAABAAQAAZHJzL2Uyb0Rv&#10;Yy54bWxQSwUGAAAAAAYABgBZAQAAWgUAAAAA&#10;">
              <v:fill on="f" focussize="0,0"/>
              <v:stroke on="f"/>
              <v:imagedata o:title=""/>
              <o:lock v:ext="edit" aspectratio="f"/>
              <v:textbox inset="0mm,0mm,0mm,0mm">
                <w:txbxContent>
                  <w:p>
                    <w:pPr>
                      <w:ind w:left="20"/>
                      <w:rPr>
                        <w:sz w:val="18"/>
                      </w:rPr>
                    </w:pPr>
                    <w:r>
                      <w:rPr>
                        <w:spacing w:val="-23"/>
                        <w:sz w:val="18"/>
                      </w:rPr>
                      <w:t xml:space="preserve">第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pacing w:val="-12"/>
                        <w:sz w:val="18"/>
                      </w:rPr>
                      <w:t xml:space="preserve">页，共 </w:t>
                    </w:r>
                    <w:r>
                      <w:rPr>
                        <w:rFonts w:ascii="Times New Roman" w:eastAsia="Times New Roman"/>
                        <w:sz w:val="18"/>
                      </w:rPr>
                      <w:t xml:space="preserve">7 </w:t>
                    </w:r>
                    <w:r>
                      <w:rPr>
                        <w:sz w:val="18"/>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D2400"/>
    <w:multiLevelType w:val="singleLevel"/>
    <w:tmpl w:val="5EFD2400"/>
    <w:lvl w:ilvl="0" w:tentative="0">
      <w:start w:val="2"/>
      <w:numFmt w:val="decimal"/>
      <w:suff w:val="nothing"/>
      <w:lvlText w:val="%1、"/>
      <w:lvlJc w:val="left"/>
    </w:lvl>
  </w:abstractNum>
  <w:abstractNum w:abstractNumId="1">
    <w:nsid w:val="5EFD3C10"/>
    <w:multiLevelType w:val="singleLevel"/>
    <w:tmpl w:val="5EFD3C10"/>
    <w:lvl w:ilvl="0" w:tentative="0">
      <w:start w:val="2"/>
      <w:numFmt w:val="decimal"/>
      <w:suff w:val="nothing"/>
      <w:lvlText w:val="%1、"/>
      <w:lvlJc w:val="left"/>
    </w:lvl>
  </w:abstractNum>
  <w:abstractNum w:abstractNumId="2">
    <w:nsid w:val="5EFD3F8B"/>
    <w:multiLevelType w:val="singleLevel"/>
    <w:tmpl w:val="5EFD3F8B"/>
    <w:lvl w:ilvl="0" w:tentative="0">
      <w:start w:val="1"/>
      <w:numFmt w:val="chineseCounting"/>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oNotDisplayPageBoundaries w:val="1"/>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594"/>
    <w:rsid w:val="00045594"/>
    <w:rsid w:val="000F0EDE"/>
    <w:rsid w:val="00142B0F"/>
    <w:rsid w:val="00195573"/>
    <w:rsid w:val="00285305"/>
    <w:rsid w:val="00321C6B"/>
    <w:rsid w:val="003B1DCA"/>
    <w:rsid w:val="003F5355"/>
    <w:rsid w:val="003F6CE3"/>
    <w:rsid w:val="004722A6"/>
    <w:rsid w:val="004E24E2"/>
    <w:rsid w:val="005E3081"/>
    <w:rsid w:val="00655543"/>
    <w:rsid w:val="008F28D7"/>
    <w:rsid w:val="00B7745F"/>
    <w:rsid w:val="00CE4B1C"/>
    <w:rsid w:val="00D067DF"/>
    <w:rsid w:val="00DD6DB6"/>
    <w:rsid w:val="00E0042F"/>
    <w:rsid w:val="00E52E1F"/>
    <w:rsid w:val="00E71726"/>
    <w:rsid w:val="00F2213D"/>
    <w:rsid w:val="00F476CC"/>
    <w:rsid w:val="00FC01F1"/>
    <w:rsid w:val="1F778530"/>
    <w:rsid w:val="2FEF2E37"/>
    <w:rsid w:val="3F3E0F30"/>
    <w:rsid w:val="3F7A21C1"/>
    <w:rsid w:val="3FFFE138"/>
    <w:rsid w:val="4BCDF497"/>
    <w:rsid w:val="6DFE4CD9"/>
    <w:rsid w:val="6FEA0277"/>
    <w:rsid w:val="77CF0448"/>
    <w:rsid w:val="7BEE3926"/>
    <w:rsid w:val="7DDA63F1"/>
    <w:rsid w:val="7F7B2177"/>
    <w:rsid w:val="7FEFAF1C"/>
    <w:rsid w:val="B3DDEFC6"/>
    <w:rsid w:val="B9F7C177"/>
    <w:rsid w:val="D5E72FB6"/>
    <w:rsid w:val="EB7F3CE0"/>
    <w:rsid w:val="EFDE1311"/>
    <w:rsid w:val="F65D7941"/>
    <w:rsid w:val="F97AC1E9"/>
    <w:rsid w:val="FC9B33E4"/>
    <w:rsid w:val="FCEF053B"/>
    <w:rsid w:val="FDBBD6ED"/>
    <w:rsid w:val="FDFFEEA2"/>
    <w:rsid w:val="FF7FC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before="41"/>
      <w:ind w:left="218" w:right="241"/>
      <w:outlineLvl w:val="0"/>
    </w:pPr>
    <w:rPr>
      <w:rFonts w:ascii="黑体" w:hAnsi="黑体" w:eastAsia="黑体" w:cs="黑体"/>
      <w:sz w:val="30"/>
      <w:szCs w:val="30"/>
    </w:rPr>
  </w:style>
  <w:style w:type="paragraph" w:styleId="3">
    <w:name w:val="heading 2"/>
    <w:basedOn w:val="1"/>
    <w:next w:val="1"/>
    <w:qFormat/>
    <w:uiPriority w:val="1"/>
    <w:pPr>
      <w:ind w:left="640"/>
      <w:outlineLvl w:val="1"/>
    </w:pPr>
    <w:rPr>
      <w:b/>
      <w:bCs/>
      <w:sz w:val="28"/>
      <w:szCs w:val="28"/>
    </w:rPr>
  </w:style>
  <w:style w:type="character" w:default="1" w:styleId="7">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Balloon Text"/>
    <w:basedOn w:val="1"/>
    <w:link w:val="12"/>
    <w:qFormat/>
    <w:uiPriority w:val="0"/>
    <w:rPr>
      <w:rFonts w:ascii="Times New Roman" w:hAnsi="Times New Roman" w:cs="Times New Roman"/>
      <w:sz w:val="18"/>
      <w:szCs w:val="18"/>
    </w:rPr>
  </w:style>
  <w:style w:type="paragraph" w:styleId="6">
    <w:name w:val="Title"/>
    <w:basedOn w:val="1"/>
    <w:qFormat/>
    <w:uiPriority w:val="1"/>
    <w:pPr>
      <w:spacing w:before="42"/>
      <w:ind w:left="2179" w:right="1393" w:hanging="651"/>
    </w:pPr>
    <w:rPr>
      <w:b/>
      <w:bCs/>
      <w:sz w:val="30"/>
      <w:szCs w:val="30"/>
    </w:rPr>
  </w:style>
  <w:style w:type="table" w:customStyle="1" w:styleId="9">
    <w:name w:val="Table Normal1"/>
    <w:unhideWhenUsed/>
    <w:qFormat/>
    <w:uiPriority w:val="2"/>
    <w:tblPr>
      <w:tblCellMar>
        <w:top w:w="0" w:type="dxa"/>
        <w:left w:w="0" w:type="dxa"/>
        <w:bottom w:w="0" w:type="dxa"/>
        <w:right w:w="0" w:type="dxa"/>
      </w:tblCellMar>
    </w:tblPr>
  </w:style>
  <w:style w:type="paragraph" w:customStyle="1" w:styleId="10">
    <w:name w:val="列表段落1"/>
    <w:basedOn w:val="1"/>
    <w:qFormat/>
    <w:uiPriority w:val="1"/>
    <w:pPr>
      <w:ind w:left="218" w:right="244"/>
    </w:pPr>
  </w:style>
  <w:style w:type="paragraph" w:customStyle="1" w:styleId="11">
    <w:name w:val="Table Paragraph"/>
    <w:basedOn w:val="1"/>
    <w:qFormat/>
    <w:uiPriority w:val="1"/>
    <w:pPr>
      <w:spacing w:before="2" w:line="289" w:lineRule="exact"/>
      <w:ind w:left="107"/>
    </w:pPr>
  </w:style>
  <w:style w:type="character" w:customStyle="1" w:styleId="12">
    <w:name w:val="批注框文本 字符"/>
    <w:basedOn w:val="7"/>
    <w:link w:val="5"/>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720</Words>
  <Characters>4107</Characters>
  <Lines>34</Lines>
  <Paragraphs>9</Paragraphs>
  <ScaleCrop>false</ScaleCrop>
  <LinksUpToDate>false</LinksUpToDate>
  <CharactersWithSpaces>4818</CharactersWithSpaces>
  <Application>WPS Office_2.2.0.3563_F1E327BC-269C-435d-A152-05C5408002CA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2020-07-03T07:23:00Z</dcterms:created>
  <dc:creator>zhu jie</dc:creator>
  <cp:lastModifiedBy>leichen</cp:lastModifiedBy>
  <dcterms:modified xsi:type="dcterms:W3CDTF">2020-07-03T12:50:58Z</dcterms:modified>
  <dc:title>2006年软件学院本科生免试直升硕士研究生评审细则</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Microsoft® Word 2016</vt:lpwstr>
  </property>
  <property fmtid="{D5CDD505-2E9C-101B-9397-08002B2CF9AE}" pid="4" name="LastSaved">
    <vt:filetime>2020-07-01T00:00:00Z</vt:filetime>
  </property>
  <property fmtid="{D5CDD505-2E9C-101B-9397-08002B2CF9AE}" pid="5" name="KSOProductBuildVer">
    <vt:lpwstr>2052-2.2.0.3563</vt:lpwstr>
  </property>
</Properties>
</file>